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9BB00" w14:textId="2775AE1D" w:rsidR="001156C3" w:rsidRPr="00EB55BA" w:rsidRDefault="001156C3" w:rsidP="001156C3">
      <w:pPr>
        <w:jc w:val="both"/>
        <w:rPr>
          <w:rFonts w:eastAsiaTheme="minorEastAsia"/>
          <w:lang w:val="tr-TR"/>
        </w:rPr>
      </w:pPr>
      <w:r w:rsidRPr="00EB55BA">
        <w:rPr>
          <w:rFonts w:eastAsiaTheme="minorEastAsia"/>
          <w:lang w:val="tr-TR"/>
        </w:rPr>
        <w:t>İspanya’nın Ankara Büyükelçiliği adına sözlerime, Ticaret Bakanlığı İthalat Genel Müdürlüğü Korunma Önlemleri ve Gözetim Dairesi Başkanlığına bugünkü kamu dinleme toplantısında görüşlerimizi sunma imkânı tanıdığı için teşekkürlerimi</w:t>
      </w:r>
      <w:r w:rsidR="00A275C4" w:rsidRPr="00EB55BA">
        <w:rPr>
          <w:rFonts w:eastAsiaTheme="minorEastAsia"/>
          <w:lang w:val="tr-TR"/>
        </w:rPr>
        <w:t>zi</w:t>
      </w:r>
      <w:r w:rsidRPr="00EB55BA">
        <w:rPr>
          <w:rFonts w:eastAsiaTheme="minorEastAsia"/>
          <w:lang w:val="tr-TR"/>
        </w:rPr>
        <w:t xml:space="preserve"> ifade ederek başlamak isterim.</w:t>
      </w:r>
    </w:p>
    <w:p w14:paraId="0EDFFB2D" w14:textId="480A67FA" w:rsidR="001156C3" w:rsidRPr="00EB55BA" w:rsidRDefault="001156C3" w:rsidP="001156C3">
      <w:pPr>
        <w:jc w:val="both"/>
        <w:rPr>
          <w:rFonts w:eastAsiaTheme="minorEastAsia"/>
          <w:lang w:val="tr-TR"/>
        </w:rPr>
      </w:pPr>
      <w:r w:rsidRPr="00EB55BA">
        <w:rPr>
          <w:rFonts w:eastAsiaTheme="minorEastAsia"/>
          <w:lang w:val="tr-TR"/>
        </w:rPr>
        <w:t>Öncelikle genel bir husus olarak soruşturmanın Dünya Ticaret Örgütü Korunma Önlemleri Anlaşması hükümlerine uygun şekilde yürütülmesi</w:t>
      </w:r>
      <w:r w:rsidR="00A275C4" w:rsidRPr="00EB55BA">
        <w:rPr>
          <w:rFonts w:eastAsiaTheme="minorEastAsia"/>
          <w:lang w:val="tr-TR"/>
        </w:rPr>
        <w:t>nin gerekli olduğuna olan inancımızı</w:t>
      </w:r>
      <w:r w:rsidRPr="00EB55BA">
        <w:rPr>
          <w:rFonts w:eastAsiaTheme="minorEastAsia"/>
          <w:lang w:val="tr-TR"/>
        </w:rPr>
        <w:t xml:space="preserve"> ifade etmek isteriz.</w:t>
      </w:r>
      <w:r w:rsidR="00A275C4" w:rsidRPr="00EB55BA">
        <w:rPr>
          <w:rFonts w:eastAsiaTheme="minorEastAsia"/>
          <w:lang w:val="tr-TR"/>
        </w:rPr>
        <w:t xml:space="preserve"> Söz konusu bu koruma a</w:t>
      </w:r>
      <w:r w:rsidRPr="00EB55BA">
        <w:rPr>
          <w:rFonts w:eastAsiaTheme="minorEastAsia"/>
          <w:lang w:val="tr-TR"/>
        </w:rPr>
        <w:t xml:space="preserve">racı tüm menşelerden yapılan ithalata yönelik </w:t>
      </w:r>
      <w:r w:rsidR="00A275C4" w:rsidRPr="00EB55BA">
        <w:rPr>
          <w:rFonts w:eastAsiaTheme="minorEastAsia"/>
          <w:lang w:val="tr-TR"/>
        </w:rPr>
        <w:t xml:space="preserve">bir araç </w:t>
      </w:r>
      <w:r w:rsidRPr="00EB55BA">
        <w:rPr>
          <w:rFonts w:eastAsiaTheme="minorEastAsia"/>
          <w:lang w:val="tr-TR"/>
        </w:rPr>
        <w:t xml:space="preserve">olması nedeniyle, ticaret savunma araçları arasında en kısıtlayıcı nitelikte </w:t>
      </w:r>
      <w:r w:rsidR="00A275C4" w:rsidRPr="00EB55BA">
        <w:rPr>
          <w:rFonts w:eastAsiaTheme="minorEastAsia"/>
          <w:lang w:val="tr-TR"/>
        </w:rPr>
        <w:t>olup</w:t>
      </w:r>
      <w:r w:rsidRPr="00EB55BA">
        <w:rPr>
          <w:rFonts w:eastAsiaTheme="minorEastAsia"/>
          <w:lang w:val="tr-TR"/>
        </w:rPr>
        <w:t xml:space="preserve">; bu nedenle yalnızca istisnai durumlarda başvurulması </w:t>
      </w:r>
      <w:r w:rsidR="00A275C4" w:rsidRPr="00EB55BA">
        <w:rPr>
          <w:rFonts w:eastAsiaTheme="minorEastAsia"/>
          <w:lang w:val="tr-TR"/>
        </w:rPr>
        <w:t>gereklidir</w:t>
      </w:r>
      <w:r w:rsidRPr="00EB55BA">
        <w:rPr>
          <w:rFonts w:eastAsiaTheme="minorEastAsia"/>
          <w:lang w:val="tr-TR"/>
        </w:rPr>
        <w:t>.</w:t>
      </w:r>
    </w:p>
    <w:p w14:paraId="183D81C5" w14:textId="4C5F8C33" w:rsidR="1DD490D5" w:rsidRPr="00EB55BA" w:rsidRDefault="00A275C4" w:rsidP="00A275C4">
      <w:pPr>
        <w:jc w:val="both"/>
        <w:rPr>
          <w:rFonts w:eastAsiaTheme="minorEastAsia"/>
          <w:lang w:val="tr-TR"/>
        </w:rPr>
      </w:pPr>
      <w:r w:rsidRPr="00EB55BA">
        <w:rPr>
          <w:rFonts w:eastAsiaTheme="minorEastAsia"/>
          <w:lang w:val="tr-TR"/>
        </w:rPr>
        <w:t xml:space="preserve">Türk yerli sanayisi tarafından sunulan şikâyetin gizli olmayan versiyonu esas alınarak, </w:t>
      </w:r>
      <w:r w:rsidR="009A7080" w:rsidRPr="00EB55BA">
        <w:rPr>
          <w:rFonts w:eastAsiaTheme="minorEastAsia"/>
          <w:lang w:val="tr-TR"/>
        </w:rPr>
        <w:t>Başkanlığınız</w:t>
      </w:r>
      <w:r w:rsidRPr="00EB55BA">
        <w:rPr>
          <w:rFonts w:eastAsiaTheme="minorEastAsia"/>
          <w:lang w:val="tr-TR"/>
        </w:rPr>
        <w:t xml:space="preserve"> tarafından daha ayrıntılı bir incelemeyi gerektiren bazı hususlara dikkat çekmek isteriz.</w:t>
      </w:r>
    </w:p>
    <w:p w14:paraId="597E8620" w14:textId="0F27F353" w:rsidR="001A2E97" w:rsidRPr="00EB55BA" w:rsidRDefault="325B7190" w:rsidP="54CABD66">
      <w:pPr>
        <w:jc w:val="both"/>
        <w:rPr>
          <w:b/>
          <w:bCs/>
          <w:lang w:val="tr-TR"/>
        </w:rPr>
      </w:pPr>
      <w:r w:rsidRPr="00EB55BA">
        <w:rPr>
          <w:b/>
          <w:bCs/>
          <w:lang w:val="tr-TR"/>
        </w:rPr>
        <w:t xml:space="preserve">1. </w:t>
      </w:r>
      <w:r w:rsidR="00B66AFB" w:rsidRPr="00EB55BA">
        <w:rPr>
          <w:b/>
          <w:bCs/>
          <w:lang w:val="tr-TR"/>
        </w:rPr>
        <w:t>Korunma önlemi bu dosya bakımından uygun bir araç değildir</w:t>
      </w:r>
    </w:p>
    <w:p w14:paraId="70C43AD8" w14:textId="3930A150" w:rsidR="00B66AFB" w:rsidRPr="00EB55BA" w:rsidRDefault="00B66AFB" w:rsidP="54CABD66">
      <w:pPr>
        <w:jc w:val="both"/>
        <w:rPr>
          <w:lang w:val="tr-TR"/>
        </w:rPr>
      </w:pPr>
      <w:r w:rsidRPr="00EB55BA">
        <w:rPr>
          <w:lang w:val="tr-TR"/>
        </w:rPr>
        <w:t>Korunma önlem</w:t>
      </w:r>
      <w:r w:rsidR="00EE20F2" w:rsidRPr="00EB55BA">
        <w:rPr>
          <w:lang w:val="tr-TR"/>
        </w:rPr>
        <w:t>inin</w:t>
      </w:r>
      <w:r w:rsidRPr="00EB55BA">
        <w:rPr>
          <w:lang w:val="tr-TR"/>
        </w:rPr>
        <w:t>, daha yüksek zarar şartları gerektiren ve uygulanması hâlinde Avrupa Birliği gibi dürüst ticaret ortakları dâhil tüm menşeleri olumsuz etkileyen istisnai bir araç olduğunu hatırlatmak isteriz.</w:t>
      </w:r>
    </w:p>
    <w:p w14:paraId="4C9EBD1D" w14:textId="47A02E61" w:rsidR="00B66AFB" w:rsidRPr="00EB55BA" w:rsidRDefault="00B66AFB" w:rsidP="54CABD66">
      <w:pPr>
        <w:jc w:val="both"/>
        <w:rPr>
          <w:lang w:val="tr-TR"/>
        </w:rPr>
      </w:pPr>
      <w:r w:rsidRPr="00EB55BA">
        <w:rPr>
          <w:lang w:val="tr-TR"/>
        </w:rPr>
        <w:t>Belirli bir menşeden kaynaklanan haksız uygulamalara karşı daha uygun anti-damping veya telafi edici önlemler gibi araçların kullanılmasının değerlendirilmesini Başkanlı</w:t>
      </w:r>
      <w:r w:rsidR="009A7080" w:rsidRPr="00EB55BA">
        <w:rPr>
          <w:lang w:val="tr-TR"/>
        </w:rPr>
        <w:t>ğınızdan</w:t>
      </w:r>
      <w:r w:rsidRPr="00EB55BA">
        <w:rPr>
          <w:lang w:val="tr-TR"/>
        </w:rPr>
        <w:t xml:space="preserve"> talep etmekteyiz.</w:t>
      </w:r>
    </w:p>
    <w:p w14:paraId="5B2097E6" w14:textId="0380C110" w:rsidR="00B66AFB" w:rsidRPr="00EB55BA" w:rsidRDefault="00B66AFB" w:rsidP="54CABD66">
      <w:pPr>
        <w:jc w:val="both"/>
        <w:rPr>
          <w:lang w:val="tr-TR"/>
        </w:rPr>
      </w:pPr>
      <w:r w:rsidRPr="00EB55BA">
        <w:rPr>
          <w:lang w:val="tr-TR"/>
        </w:rPr>
        <w:t xml:space="preserve">Soruşturmanın başlatılması aşamasında yazılı beyanlarımızda daha ayrıntılı olarak açıkladığımız üzere, veriler yalnızca Çin’in rekabet baskısı yaratabilecek hacim ve fiyat düzeylerine sahip olduğunu; İspanya dâhil Avrupa Birliği’nden yapılan ithalatın ise zararlı bir etkisinin bulunmadığını göstermektedir. Çin menşeli ithalat, toplam ithalatın </w:t>
      </w:r>
      <w:r w:rsidR="004B442C" w:rsidRPr="00EB55BA">
        <w:rPr>
          <w:lang w:val="tr-TR"/>
        </w:rPr>
        <w:t xml:space="preserve">yüzde </w:t>
      </w:r>
      <w:r w:rsidRPr="00EB55BA">
        <w:rPr>
          <w:lang w:val="tr-TR"/>
        </w:rPr>
        <w:t xml:space="preserve">42,5’ini oluşturmakta olup, Avrupa Birliği fiyatlarından </w:t>
      </w:r>
      <w:r w:rsidR="004B442C" w:rsidRPr="00EB55BA">
        <w:rPr>
          <w:lang w:val="tr-TR"/>
        </w:rPr>
        <w:t xml:space="preserve">yüzde </w:t>
      </w:r>
      <w:r w:rsidRPr="00EB55BA">
        <w:rPr>
          <w:lang w:val="tr-TR"/>
        </w:rPr>
        <w:t>10 daha düşük fiyatlar sayesinde kısa sürede önemli ölçüde artmış; bu durum da Avrupa Birliği’nin pazar payı kaybetmesine yol açmıştır.</w:t>
      </w:r>
    </w:p>
    <w:p w14:paraId="0525A05B" w14:textId="2525F081" w:rsidR="00C6302D" w:rsidRPr="00EB55BA" w:rsidRDefault="00C6302D" w:rsidP="00C6302D">
      <w:pPr>
        <w:jc w:val="both"/>
        <w:rPr>
          <w:lang w:val="tr-TR"/>
        </w:rPr>
      </w:pPr>
      <w:r w:rsidRPr="00EB55BA">
        <w:rPr>
          <w:lang w:val="tr-TR"/>
        </w:rPr>
        <w:t xml:space="preserve">Bu noktada, İspanya örneği açıklayıcı niteliktedir; zira 2021’den 2024’e kadar pazar payı </w:t>
      </w:r>
      <w:r w:rsidR="004B442C" w:rsidRPr="00EB55BA">
        <w:rPr>
          <w:lang w:val="tr-TR"/>
        </w:rPr>
        <w:t xml:space="preserve">yüzde </w:t>
      </w:r>
      <w:r w:rsidRPr="00EB55BA">
        <w:rPr>
          <w:lang w:val="tr-TR"/>
        </w:rPr>
        <w:t xml:space="preserve">4’ten </w:t>
      </w:r>
      <w:r w:rsidR="004B442C" w:rsidRPr="00EB55BA">
        <w:rPr>
          <w:lang w:val="tr-TR"/>
        </w:rPr>
        <w:t xml:space="preserve">yüzde </w:t>
      </w:r>
      <w:r w:rsidRPr="00EB55BA">
        <w:rPr>
          <w:lang w:val="tr-TR"/>
        </w:rPr>
        <w:t>1,9’a kesintisiz şekilde gerilemiştir.</w:t>
      </w:r>
    </w:p>
    <w:p w14:paraId="2C43599C" w14:textId="12B8ADC2" w:rsidR="001A2E97" w:rsidRPr="00EB55BA" w:rsidRDefault="325B7190" w:rsidP="54CABD66">
      <w:pPr>
        <w:jc w:val="both"/>
        <w:rPr>
          <w:rFonts w:eastAsiaTheme="minorEastAsia"/>
          <w:b/>
          <w:bCs/>
          <w:lang w:val="tr-TR"/>
        </w:rPr>
      </w:pPr>
      <w:r w:rsidRPr="00EB55BA">
        <w:rPr>
          <w:b/>
          <w:bCs/>
          <w:lang w:val="tr-TR"/>
        </w:rPr>
        <w:t xml:space="preserve">2. </w:t>
      </w:r>
      <w:r w:rsidR="00C6302D" w:rsidRPr="00EB55BA">
        <w:rPr>
          <w:b/>
          <w:bCs/>
          <w:lang w:val="tr-TR"/>
        </w:rPr>
        <w:t>Soruşturma dönemi yetersiz ve temsil gücü zayıftır</w:t>
      </w:r>
    </w:p>
    <w:p w14:paraId="797D47C9" w14:textId="6AB48B3C" w:rsidR="00C6302D" w:rsidRPr="00EB55BA" w:rsidRDefault="00C6302D" w:rsidP="54CABD66">
      <w:pPr>
        <w:jc w:val="both"/>
        <w:rPr>
          <w:lang w:val="tr-TR"/>
        </w:rPr>
      </w:pPr>
      <w:r w:rsidRPr="00EB55BA">
        <w:rPr>
          <w:lang w:val="tr-TR"/>
        </w:rPr>
        <w:t>İkinci olarak, İspanya yalnızca 30 aylık bir soruşturma döneminin seçilmesini sorgulamaktadır. Yazılı beyanlarımızda ortaya koyduğumuz üzere, bu denli kısa bir zaman aralığı, ithalatın ortaya koyduğu genel eğilimin objektif ve temsili bir şekilde değerlendirilmesine imkân vermemektedir.</w:t>
      </w:r>
    </w:p>
    <w:p w14:paraId="459B6193" w14:textId="77777777" w:rsidR="00C6302D" w:rsidRPr="00EB55BA" w:rsidRDefault="00C6302D" w:rsidP="00C6302D">
      <w:pPr>
        <w:spacing w:after="0" w:line="240" w:lineRule="auto"/>
        <w:rPr>
          <w:rFonts w:ascii="Aptos" w:eastAsia="Aptos" w:hAnsi="Aptos"/>
          <w:color w:val="000000" w:themeColor="text1"/>
          <w:lang w:val="tr-TR"/>
        </w:rPr>
      </w:pPr>
      <w:r w:rsidRPr="00EB55BA">
        <w:rPr>
          <w:rFonts w:ascii="Aptos" w:eastAsia="Aptos" w:hAnsi="Aptos"/>
          <w:color w:val="000000" w:themeColor="text1"/>
          <w:lang w:val="tr-TR"/>
        </w:rPr>
        <w:t>30 ay yerine:</w:t>
      </w:r>
    </w:p>
    <w:p w14:paraId="74FB0C8E" w14:textId="7813832A" w:rsidR="00C6302D" w:rsidRPr="00EB55BA" w:rsidRDefault="00C6302D" w:rsidP="00C6302D">
      <w:pPr>
        <w:pStyle w:val="Prrafodelista"/>
        <w:numPr>
          <w:ilvl w:val="0"/>
          <w:numId w:val="9"/>
        </w:numPr>
        <w:jc w:val="both"/>
        <w:rPr>
          <w:lang w:val="tr-TR"/>
        </w:rPr>
      </w:pPr>
      <w:r w:rsidRPr="00EB55BA">
        <w:rPr>
          <w:lang w:val="tr-TR"/>
        </w:rPr>
        <w:t xml:space="preserve">3 yıl esas alındığında, ithalat </w:t>
      </w:r>
      <w:r w:rsidR="004B442C" w:rsidRPr="00EB55BA">
        <w:rPr>
          <w:lang w:val="tr-TR"/>
        </w:rPr>
        <w:t xml:space="preserve">yüzde </w:t>
      </w:r>
      <w:r w:rsidRPr="00EB55BA">
        <w:rPr>
          <w:lang w:val="tr-TR"/>
        </w:rPr>
        <w:t>16,7 oranında azalmaktadır.</w:t>
      </w:r>
    </w:p>
    <w:p w14:paraId="5E1DA0B7" w14:textId="3A73D8CE" w:rsidR="00C6302D" w:rsidRPr="00EB55BA" w:rsidRDefault="00C6302D" w:rsidP="00C6302D">
      <w:pPr>
        <w:pStyle w:val="Prrafodelista"/>
        <w:numPr>
          <w:ilvl w:val="0"/>
          <w:numId w:val="9"/>
        </w:numPr>
        <w:jc w:val="both"/>
        <w:rPr>
          <w:lang w:val="tr-TR"/>
        </w:rPr>
      </w:pPr>
      <w:r w:rsidRPr="00EB55BA">
        <w:rPr>
          <w:lang w:val="tr-TR"/>
        </w:rPr>
        <w:t>4 yıl esas alındığında ise istikrarlı seyretmektedir (</w:t>
      </w:r>
      <w:r w:rsidR="004B442C" w:rsidRPr="00EB55BA">
        <w:rPr>
          <w:lang w:val="tr-TR"/>
        </w:rPr>
        <w:t xml:space="preserve">yüzde </w:t>
      </w:r>
      <w:r w:rsidRPr="00EB55BA">
        <w:rPr>
          <w:lang w:val="tr-TR"/>
        </w:rPr>
        <w:t>-0,14).</w:t>
      </w:r>
    </w:p>
    <w:p w14:paraId="1F2C626E" w14:textId="197B12B4" w:rsidR="00C6302D" w:rsidRPr="00EB55BA" w:rsidRDefault="00C6302D" w:rsidP="00C6302D">
      <w:pPr>
        <w:spacing w:after="0" w:line="240" w:lineRule="auto"/>
        <w:jc w:val="both"/>
        <w:rPr>
          <w:rFonts w:ascii="Aptos" w:eastAsia="Aptos" w:hAnsi="Aptos"/>
          <w:color w:val="000000" w:themeColor="text1"/>
          <w:lang w:val="tr-TR"/>
        </w:rPr>
      </w:pPr>
      <w:r w:rsidRPr="00EB55BA">
        <w:rPr>
          <w:rFonts w:ascii="Aptos" w:eastAsia="Aptos" w:hAnsi="Aptos"/>
          <w:color w:val="000000" w:themeColor="text1"/>
          <w:lang w:val="tr-TR"/>
        </w:rPr>
        <w:lastRenderedPageBreak/>
        <w:t>Korunma Önlemleri Anlaşması belirli bir soruşturma dönemi öngörmemekle birlikte, Uyuşmazlıkların Halli Organı içtihadı, seçilen dönemin ithalattaki artışın varlığı ve yerli üretim dalının durumu hakkında sağlam sonuçlara ulaşılmasına imkân verecek ölçüde yeterince uzun olması gerektiğini açıkça ortaya koymuştur. Mevcut durumda bu şart açıkça karşılanmamaktadır.</w:t>
      </w:r>
    </w:p>
    <w:p w14:paraId="17AD6EC9" w14:textId="68EC0244" w:rsidR="050B9771" w:rsidRPr="00EB55BA" w:rsidRDefault="050B9771" w:rsidP="050B9771">
      <w:pPr>
        <w:spacing w:after="0" w:line="240" w:lineRule="auto"/>
        <w:jc w:val="both"/>
        <w:rPr>
          <w:lang w:val="tr-TR"/>
        </w:rPr>
      </w:pPr>
    </w:p>
    <w:p w14:paraId="38CC1358" w14:textId="77777777" w:rsidR="00B10080" w:rsidRPr="00EB55BA" w:rsidRDefault="325B7190" w:rsidP="00B10080">
      <w:pPr>
        <w:jc w:val="both"/>
        <w:rPr>
          <w:b/>
          <w:bCs/>
          <w:lang w:val="tr-TR"/>
        </w:rPr>
      </w:pPr>
      <w:r w:rsidRPr="00EB55BA">
        <w:rPr>
          <w:b/>
          <w:bCs/>
          <w:lang w:val="tr-TR"/>
        </w:rPr>
        <w:t xml:space="preserve">3. </w:t>
      </w:r>
      <w:r w:rsidR="00B10080" w:rsidRPr="00EB55BA">
        <w:rPr>
          <w:b/>
          <w:bCs/>
          <w:lang w:val="tr-TR"/>
        </w:rPr>
        <w:t xml:space="preserve">İthalat artan bir eğilim göstermemektedir </w:t>
      </w:r>
    </w:p>
    <w:p w14:paraId="7420E43B" w14:textId="23C24550" w:rsidR="005C3FAE" w:rsidRPr="00EB55BA" w:rsidRDefault="005C3FAE" w:rsidP="00B10080">
      <w:pPr>
        <w:jc w:val="both"/>
        <w:rPr>
          <w:rFonts w:eastAsiaTheme="minorEastAsia"/>
          <w:lang w:val="tr-TR"/>
        </w:rPr>
      </w:pPr>
      <w:r w:rsidRPr="00EB55BA">
        <w:rPr>
          <w:rFonts w:eastAsiaTheme="minorEastAsia"/>
          <w:lang w:val="tr-TR"/>
        </w:rPr>
        <w:t>2020-2024 dönemini kapsayan daha geniş bir analiz dikkate alındığında, yıllık yaklaşık yarım milyon ton seviyesinde seyreden istikrarlı bir ithalat eğilimi görülmektedir. Bu nedenle, yazılı beyanlarımızda da açıkladığımız üzere, Dünya Ticaret Örgütü içtihadı; ara yıllarda kaydedilen dalgalanmaların, gerçekte konjonktürel faktörlerden kaynaklandığı hâlde, korunma önlemi uygulanmasına yetecek düzeyde bir ithalat artışının kanıtı olarak yorumlanmasının hatalı olduğunu açıkça ortaya koymaktadır.</w:t>
      </w:r>
    </w:p>
    <w:p w14:paraId="26675802" w14:textId="6ED3F66A" w:rsidR="325B7190" w:rsidRPr="00EB55BA" w:rsidRDefault="325B7190" w:rsidP="54CABD66">
      <w:pPr>
        <w:jc w:val="both"/>
        <w:rPr>
          <w:rFonts w:eastAsiaTheme="minorEastAsia"/>
          <w:b/>
          <w:bCs/>
          <w:lang w:val="tr-TR"/>
        </w:rPr>
      </w:pPr>
      <w:r w:rsidRPr="00EB55BA">
        <w:rPr>
          <w:b/>
          <w:bCs/>
          <w:lang w:val="tr-TR"/>
        </w:rPr>
        <w:t xml:space="preserve">4. </w:t>
      </w:r>
      <w:r w:rsidR="005C3FAE" w:rsidRPr="00EB55BA">
        <w:rPr>
          <w:b/>
          <w:bCs/>
          <w:lang w:val="tr-TR"/>
        </w:rPr>
        <w:t>Yerel olarak üretilmeyen ve ithalatına izin verilmesi gereken ürünler bulunmaktadır</w:t>
      </w:r>
    </w:p>
    <w:p w14:paraId="04F2F204" w14:textId="15E3C9DF" w:rsidR="006A0ACB" w:rsidRPr="00EB55BA" w:rsidRDefault="006A0ACB" w:rsidP="54CABD66">
      <w:pPr>
        <w:jc w:val="both"/>
        <w:rPr>
          <w:rFonts w:ascii="Aptos" w:eastAsia="Aptos" w:hAnsi="Aptos"/>
          <w:lang w:val="tr-TR"/>
        </w:rPr>
      </w:pPr>
      <w:r w:rsidRPr="00EB55BA">
        <w:rPr>
          <w:rFonts w:ascii="Aptos" w:eastAsia="Aptos" w:hAnsi="Aptos"/>
          <w:lang w:val="tr-TR"/>
        </w:rPr>
        <w:t>Yerli sanayi tarafından yapılan şikâyet, herhangi bir ek açıklama yapmaksızın “…</w:t>
      </w:r>
      <w:r w:rsidRPr="00EB55BA">
        <w:rPr>
          <w:rFonts w:ascii="Aptos" w:eastAsia="Aptos" w:hAnsi="Aptos"/>
          <w:i/>
          <w:iCs/>
          <w:color w:val="000000" w:themeColor="text1"/>
          <w:lang w:val="tr-TR"/>
        </w:rPr>
        <w:t>yerli üretim dalının ithal edilen ürünleri üretebilmesi nedeniyle, ithal ürünler ile yerli ürünlerin benzer ürünler olarak kabul edildiğini</w:t>
      </w:r>
      <w:r w:rsidRPr="00EB55BA">
        <w:rPr>
          <w:rFonts w:ascii="Aptos" w:eastAsia="Aptos" w:hAnsi="Aptos"/>
          <w:lang w:val="tr-TR"/>
        </w:rPr>
        <w:t>” belirtmektedir.</w:t>
      </w:r>
    </w:p>
    <w:p w14:paraId="6D2313AF" w14:textId="209C6144" w:rsidR="40116BCE" w:rsidRPr="00EB55BA" w:rsidRDefault="006A0ACB" w:rsidP="23587FFE">
      <w:pPr>
        <w:jc w:val="both"/>
        <w:rPr>
          <w:rFonts w:ascii="Aptos" w:eastAsia="Aptos" w:hAnsi="Aptos"/>
          <w:color w:val="000000" w:themeColor="text1"/>
          <w:lang w:val="tr-TR"/>
        </w:rPr>
      </w:pPr>
      <w:r w:rsidRPr="00EB55BA">
        <w:rPr>
          <w:rFonts w:ascii="Aptos" w:eastAsia="Aptos" w:hAnsi="Aptos"/>
          <w:color w:val="000000" w:themeColor="text1"/>
          <w:lang w:val="tr-TR"/>
        </w:rPr>
        <w:t>Başkanlı</w:t>
      </w:r>
      <w:r w:rsidR="009A7080" w:rsidRPr="00EB55BA">
        <w:rPr>
          <w:rFonts w:ascii="Aptos" w:eastAsia="Aptos" w:hAnsi="Aptos"/>
          <w:color w:val="000000" w:themeColor="text1"/>
          <w:lang w:val="tr-TR"/>
        </w:rPr>
        <w:t>ğınız</w:t>
      </w:r>
      <w:r w:rsidRPr="00EB55BA">
        <w:rPr>
          <w:rFonts w:ascii="Aptos" w:eastAsia="Aptos" w:hAnsi="Aptos"/>
          <w:color w:val="000000" w:themeColor="text1"/>
          <w:lang w:val="tr-TR"/>
        </w:rPr>
        <w:t xml:space="preserve">, yerli sanayinin üretmediği ve ithalatın kendi ürünleriyle rekabet oluşturmadığı farklı ürünleri tespit etmelidir. Bu bağlamda CEPI ve PRO CARTON tarafından sunulan görüşlerin </w:t>
      </w:r>
      <w:r w:rsidR="00FD2002" w:rsidRPr="00EB55BA">
        <w:rPr>
          <w:rFonts w:ascii="Aptos" w:eastAsia="Aptos" w:hAnsi="Aptos"/>
          <w:color w:val="000000" w:themeColor="text1"/>
          <w:lang w:val="tr-TR"/>
        </w:rPr>
        <w:t xml:space="preserve">de özellikle </w:t>
      </w:r>
      <w:r w:rsidRPr="00EB55BA">
        <w:rPr>
          <w:rFonts w:ascii="Aptos" w:eastAsia="Aptos" w:hAnsi="Aptos"/>
          <w:color w:val="000000" w:themeColor="text1"/>
          <w:lang w:val="tr-TR"/>
        </w:rPr>
        <w:t>dikkate alınmasını talep etmekteyiz.</w:t>
      </w:r>
    </w:p>
    <w:p w14:paraId="553F2156" w14:textId="6C72C3D1" w:rsidR="006A0ACB" w:rsidRPr="00EB55BA" w:rsidRDefault="006A0ACB" w:rsidP="23587FFE">
      <w:pPr>
        <w:jc w:val="both"/>
        <w:rPr>
          <w:rFonts w:ascii="Aptos" w:eastAsia="Aptos" w:hAnsi="Aptos"/>
          <w:color w:val="000000" w:themeColor="text1"/>
          <w:lang w:val="tr-TR"/>
        </w:rPr>
      </w:pPr>
      <w:r w:rsidRPr="00EB55BA">
        <w:rPr>
          <w:rFonts w:ascii="Aptos" w:eastAsia="Aptos" w:hAnsi="Aptos"/>
          <w:color w:val="000000" w:themeColor="text1"/>
          <w:lang w:val="tr-TR"/>
        </w:rPr>
        <w:t>Özellikle, İspanya sektörü; sigara kâğıdı ile içecek kartonunun hâlihazırda Türkiye’de üretilmediğini, bu nedenle söz konusu ürünlerin ithalat akımlarının analizine dâhil edilmemesi ve bu soruşturmanın kapsamı dışında bırakılması gerektiğini vurgulamaktadır.</w:t>
      </w:r>
    </w:p>
    <w:p w14:paraId="4F1C3DE9" w14:textId="520844AF" w:rsidR="001A2E97" w:rsidRPr="00EB55BA" w:rsidRDefault="325B7190" w:rsidP="54CABD66">
      <w:pPr>
        <w:jc w:val="both"/>
        <w:rPr>
          <w:rFonts w:eastAsiaTheme="minorEastAsia"/>
          <w:b/>
          <w:bCs/>
          <w:lang w:val="tr-TR"/>
        </w:rPr>
      </w:pPr>
      <w:r w:rsidRPr="00EB55BA">
        <w:rPr>
          <w:b/>
          <w:bCs/>
          <w:lang w:val="tr-TR"/>
        </w:rPr>
        <w:t xml:space="preserve">5. </w:t>
      </w:r>
      <w:r w:rsidR="006A0ACB" w:rsidRPr="00EB55BA">
        <w:rPr>
          <w:b/>
          <w:bCs/>
          <w:lang w:val="tr-TR"/>
        </w:rPr>
        <w:t>Başvuru sahibinin temsiliyeti konusunda tereddütler</w:t>
      </w:r>
    </w:p>
    <w:p w14:paraId="5A4F4A9F" w14:textId="7027A17B" w:rsidR="006A0ACB" w:rsidRPr="00EB55BA" w:rsidRDefault="006A0ACB" w:rsidP="050B9771">
      <w:pPr>
        <w:jc w:val="both"/>
        <w:rPr>
          <w:lang w:val="tr-TR"/>
        </w:rPr>
      </w:pPr>
      <w:r w:rsidRPr="00EB55BA">
        <w:rPr>
          <w:lang w:val="tr-TR"/>
        </w:rPr>
        <w:t>Gizli olmayan raporda başvuru sahibi tarafın kimliğinin açık olmadığını ve Korunma Önlemleri Anlaşması’nın 4.1(c) maddesinde öngörüldüğü üzere ulusal üretimin “önemli ölçüde” zarara uğradığını ortaya koymadığını vurgulamak isteriz.</w:t>
      </w:r>
    </w:p>
    <w:p w14:paraId="16752870" w14:textId="5A3BDFD6" w:rsidR="0049702C" w:rsidRPr="00EB55BA" w:rsidRDefault="0049702C" w:rsidP="050B9771">
      <w:pPr>
        <w:jc w:val="both"/>
        <w:rPr>
          <w:lang w:val="tr-TR"/>
        </w:rPr>
      </w:pPr>
      <w:r w:rsidRPr="00EB55BA">
        <w:rPr>
          <w:lang w:val="tr-TR"/>
        </w:rPr>
        <w:t>Amerika Birleşik Devletleri – Kuzu Eti dosyasında, soruşturma makamının sanayinin maruz kaldığı zararın temsili nitelikte olduğunu değerlendirebilmesi için objektif verilere dayanması gerektiği vurgulanmıştır. Mevcut durumda da bu şartın yerine getirilip getirilmediği konusunda tereddütler bulunmaktadır.</w:t>
      </w:r>
    </w:p>
    <w:p w14:paraId="1AEFFF99" w14:textId="3970C97D" w:rsidR="001A2E97" w:rsidRPr="00EB55BA" w:rsidRDefault="325B7190" w:rsidP="54CABD66">
      <w:pPr>
        <w:jc w:val="both"/>
        <w:rPr>
          <w:rFonts w:eastAsiaTheme="minorEastAsia"/>
          <w:b/>
          <w:bCs/>
          <w:lang w:val="tr-TR"/>
        </w:rPr>
      </w:pPr>
      <w:r w:rsidRPr="00EB55BA">
        <w:rPr>
          <w:b/>
          <w:bCs/>
          <w:lang w:val="tr-TR"/>
        </w:rPr>
        <w:t xml:space="preserve">6. </w:t>
      </w:r>
      <w:r w:rsidR="0049702C" w:rsidRPr="00EB55BA">
        <w:rPr>
          <w:b/>
          <w:bCs/>
          <w:lang w:val="tr-TR"/>
        </w:rPr>
        <w:t>Yerli sanayi ciddi zarara uğramış görünmemektedir</w:t>
      </w:r>
    </w:p>
    <w:p w14:paraId="5A0E412D" w14:textId="77777777" w:rsidR="0049702C" w:rsidRPr="00EB55BA" w:rsidRDefault="0049702C" w:rsidP="0049702C">
      <w:pPr>
        <w:pStyle w:val="NormalWeb"/>
        <w:rPr>
          <w:rFonts w:asciiTheme="minorHAnsi" w:eastAsiaTheme="minorHAnsi" w:hAnsiTheme="minorHAnsi" w:cstheme="minorBidi"/>
          <w:lang w:val="tr-TR" w:eastAsia="en-US"/>
        </w:rPr>
      </w:pPr>
      <w:r w:rsidRPr="00EB55BA">
        <w:rPr>
          <w:rFonts w:asciiTheme="minorHAnsi" w:eastAsiaTheme="minorHAnsi" w:hAnsiTheme="minorHAnsi" w:cstheme="minorBidi"/>
          <w:lang w:val="tr-TR" w:eastAsia="en-US"/>
        </w:rPr>
        <w:t>İspanya, Türk sanayisine ilişkin ekonomik göstergelerin bir bozulmaya değil, aksine iyileşmeye işaret ettiğini ileri sürmektedir:</w:t>
      </w:r>
    </w:p>
    <w:p w14:paraId="434CFA84" w14:textId="7967C44E" w:rsidR="0049702C" w:rsidRPr="00EB55BA" w:rsidRDefault="0049702C" w:rsidP="0049702C">
      <w:pPr>
        <w:pStyle w:val="NormalWeb"/>
        <w:rPr>
          <w:rFonts w:asciiTheme="minorHAnsi" w:eastAsiaTheme="minorHAnsi" w:hAnsiTheme="minorHAnsi" w:cstheme="minorBidi"/>
          <w:lang w:val="tr-TR" w:eastAsia="en-US"/>
        </w:rPr>
      </w:pPr>
      <w:r w:rsidRPr="00EB55BA">
        <w:rPr>
          <w:rFonts w:asciiTheme="minorHAnsi" w:eastAsiaTheme="minorHAnsi" w:hAnsiTheme="minorHAnsi" w:cstheme="minorBidi"/>
          <w:lang w:val="tr-TR" w:eastAsia="en-US"/>
        </w:rPr>
        <w:lastRenderedPageBreak/>
        <w:t>• Üretim istikrarlıdır</w:t>
      </w:r>
      <w:r w:rsidRPr="00EB55BA">
        <w:rPr>
          <w:rFonts w:asciiTheme="minorHAnsi" w:eastAsiaTheme="minorHAnsi" w:hAnsiTheme="minorHAnsi" w:cstheme="minorBidi"/>
          <w:lang w:val="tr-TR" w:eastAsia="en-US"/>
        </w:rPr>
        <w:br/>
        <w:t>• İstihdam artış göstermektedir</w:t>
      </w:r>
      <w:r w:rsidRPr="00EB55BA">
        <w:rPr>
          <w:rFonts w:asciiTheme="minorHAnsi" w:eastAsiaTheme="minorHAnsi" w:hAnsiTheme="minorHAnsi" w:cstheme="minorBidi"/>
          <w:lang w:val="tr-TR" w:eastAsia="en-US"/>
        </w:rPr>
        <w:br/>
        <w:t xml:space="preserve">• İhracat </w:t>
      </w:r>
      <w:r w:rsidR="004B442C" w:rsidRPr="00EB55BA">
        <w:rPr>
          <w:rFonts w:asciiTheme="minorHAnsi" w:eastAsiaTheme="minorHAnsi" w:hAnsiTheme="minorHAnsi" w:cstheme="minorBidi"/>
          <w:lang w:val="tr-TR" w:eastAsia="en-US"/>
        </w:rPr>
        <w:t xml:space="preserve">yüzde </w:t>
      </w:r>
      <w:r w:rsidRPr="00EB55BA">
        <w:rPr>
          <w:rFonts w:asciiTheme="minorHAnsi" w:eastAsiaTheme="minorHAnsi" w:hAnsiTheme="minorHAnsi" w:cstheme="minorBidi"/>
          <w:lang w:val="tr-TR" w:eastAsia="en-US"/>
        </w:rPr>
        <w:t>36 artmıştır</w:t>
      </w:r>
      <w:r w:rsidRPr="00EB55BA">
        <w:rPr>
          <w:rFonts w:asciiTheme="minorHAnsi" w:eastAsiaTheme="minorHAnsi" w:hAnsiTheme="minorHAnsi" w:cstheme="minorBidi"/>
          <w:lang w:val="tr-TR" w:eastAsia="en-US"/>
        </w:rPr>
        <w:br/>
        <w:t xml:space="preserve">• Kârlılık negatif değerlerden </w:t>
      </w:r>
      <w:r w:rsidR="004B442C" w:rsidRPr="00EB55BA">
        <w:rPr>
          <w:rFonts w:asciiTheme="minorHAnsi" w:eastAsiaTheme="minorHAnsi" w:hAnsiTheme="minorHAnsi" w:cstheme="minorBidi"/>
          <w:lang w:val="tr-TR" w:eastAsia="en-US"/>
        </w:rPr>
        <w:t xml:space="preserve">yüzde </w:t>
      </w:r>
      <w:r w:rsidRPr="00EB55BA">
        <w:rPr>
          <w:rFonts w:asciiTheme="minorHAnsi" w:eastAsiaTheme="minorHAnsi" w:hAnsiTheme="minorHAnsi" w:cstheme="minorBidi"/>
          <w:lang w:val="tr-TR" w:eastAsia="en-US"/>
        </w:rPr>
        <w:t>50 artmıştır</w:t>
      </w:r>
      <w:r w:rsidRPr="00EB55BA">
        <w:rPr>
          <w:rFonts w:asciiTheme="minorHAnsi" w:eastAsiaTheme="minorHAnsi" w:hAnsiTheme="minorHAnsi" w:cstheme="minorBidi"/>
          <w:lang w:val="tr-TR" w:eastAsia="en-US"/>
        </w:rPr>
        <w:br/>
        <w:t>• Kapasite kullanım oranı istikrarlıdır</w:t>
      </w:r>
    </w:p>
    <w:p w14:paraId="08F2205E" w14:textId="7DEFEBEB" w:rsidR="050B9771" w:rsidRPr="00EB55BA" w:rsidRDefault="0049702C" w:rsidP="050B9771">
      <w:pPr>
        <w:spacing w:after="0" w:line="240" w:lineRule="auto"/>
        <w:jc w:val="both"/>
        <w:rPr>
          <w:rFonts w:ascii="Aptos" w:eastAsia="Aptos" w:hAnsi="Aptos"/>
          <w:color w:val="000000" w:themeColor="text1"/>
          <w:lang w:val="tr-TR"/>
        </w:rPr>
      </w:pPr>
      <w:r w:rsidRPr="00EB55BA">
        <w:rPr>
          <w:rFonts w:ascii="Aptos" w:eastAsia="Aptos" w:hAnsi="Aptos"/>
          <w:color w:val="000000" w:themeColor="text1"/>
          <w:lang w:val="tr-TR"/>
        </w:rPr>
        <w:t>İthalatın pazar payı artmakla birlikte, iç pazar da büyümekte olup, bu durum ithalattaki genişlemenin yerli sanayide yapısal bir zararla bağlantılı olmadığını göstermektedir.</w:t>
      </w:r>
    </w:p>
    <w:p w14:paraId="52992642" w14:textId="77777777" w:rsidR="0049702C" w:rsidRPr="00EB55BA" w:rsidRDefault="0049702C" w:rsidP="050B9771">
      <w:pPr>
        <w:spacing w:after="0" w:line="240" w:lineRule="auto"/>
        <w:jc w:val="both"/>
        <w:rPr>
          <w:rFonts w:ascii="Aptos" w:eastAsia="Aptos" w:hAnsi="Aptos"/>
          <w:color w:val="000000" w:themeColor="text1"/>
          <w:lang w:val="tr-TR"/>
        </w:rPr>
      </w:pPr>
    </w:p>
    <w:p w14:paraId="270FB8AF" w14:textId="4286586E" w:rsidR="050B9771" w:rsidRPr="00EB55BA" w:rsidRDefault="0049702C" w:rsidP="050B9771">
      <w:pPr>
        <w:jc w:val="both"/>
        <w:rPr>
          <w:lang w:val="tr-TR"/>
        </w:rPr>
      </w:pPr>
      <w:r w:rsidRPr="00EB55BA">
        <w:rPr>
          <w:rFonts w:ascii="Aptos" w:eastAsia="Aptos" w:hAnsi="Aptos"/>
          <w:color w:val="000000" w:themeColor="text1"/>
          <w:lang w:val="tr-TR"/>
        </w:rPr>
        <w:t>Zarar göstergeleri, 2021’den bu yana Türk lirasının diğer para birimleri karşısında yaşadığı güçlü değer kaybının da desteklediği, uluslararası piyasalardaki artan rekabet gücü nedeniyle Türk üretiminin dış pazarlara yönelmesini yansıtıyor olabilir.</w:t>
      </w:r>
    </w:p>
    <w:p w14:paraId="25E0F99D" w14:textId="70BB5552" w:rsidR="00633187" w:rsidRPr="00EB55BA" w:rsidRDefault="00633187" w:rsidP="54CABD66">
      <w:pPr>
        <w:jc w:val="both"/>
        <w:rPr>
          <w:lang w:val="tr-TR"/>
        </w:rPr>
      </w:pPr>
      <w:r w:rsidRPr="00EB55BA">
        <w:rPr>
          <w:lang w:val="tr-TR"/>
        </w:rPr>
        <w:t>Bu veriler, korunma önlemlerinin uygulanması için vazgeçilmez bir şart olan “ciddi zarar” ile bağdaşmamaktadır.</w:t>
      </w:r>
    </w:p>
    <w:p w14:paraId="3B621144" w14:textId="77777777" w:rsidR="00FD2002" w:rsidRPr="00EB55BA" w:rsidRDefault="00FD2002" w:rsidP="54CABD66">
      <w:pPr>
        <w:jc w:val="both"/>
        <w:rPr>
          <w:b/>
          <w:bCs/>
          <w:lang w:val="tr-TR"/>
        </w:rPr>
      </w:pPr>
    </w:p>
    <w:p w14:paraId="2721DD19" w14:textId="3D6734D1" w:rsidR="001A2E97" w:rsidRPr="00EB55BA" w:rsidRDefault="325B7190" w:rsidP="54CABD66">
      <w:pPr>
        <w:jc w:val="both"/>
        <w:rPr>
          <w:rFonts w:eastAsiaTheme="minorEastAsia"/>
          <w:b/>
          <w:bCs/>
          <w:lang w:val="tr-TR"/>
        </w:rPr>
      </w:pPr>
      <w:r w:rsidRPr="00EB55BA">
        <w:rPr>
          <w:b/>
          <w:bCs/>
          <w:lang w:val="tr-TR"/>
        </w:rPr>
        <w:t xml:space="preserve">7. </w:t>
      </w:r>
      <w:r w:rsidR="00F57214" w:rsidRPr="00EB55BA">
        <w:rPr>
          <w:b/>
          <w:bCs/>
          <w:lang w:val="tr-TR"/>
        </w:rPr>
        <w:t>Sanayinin karşılaştığı herhangi bir güçlüğü açıklayan iç faktörler bulunmaktadır.</w:t>
      </w:r>
    </w:p>
    <w:p w14:paraId="4511BCE9" w14:textId="3B360F3C" w:rsidR="00F57214" w:rsidRPr="00EB55BA" w:rsidRDefault="00F57214" w:rsidP="00F57214">
      <w:pPr>
        <w:rPr>
          <w:rFonts w:ascii="Aptos" w:eastAsia="Aptos" w:hAnsi="Aptos"/>
          <w:color w:val="000000" w:themeColor="text1"/>
          <w:lang w:val="tr-TR"/>
        </w:rPr>
      </w:pPr>
      <w:r w:rsidRPr="00EB55BA">
        <w:rPr>
          <w:rFonts w:ascii="Aptos" w:eastAsia="Aptos" w:hAnsi="Aptos"/>
          <w:color w:val="000000" w:themeColor="text1"/>
          <w:lang w:val="tr-TR"/>
        </w:rPr>
        <w:t>Gizli olmayan raporda diğer ilgili faktörlere ilişkin olarak sunulan analiz, yalnızca beyana dayalı olup açıkçası yetersizdir. Başkanlığınız, ithalat dışındaki iç faktörlerin sanayinin performansı üzerindeki etkisini titizlikle incelemelidir. Özellikle:</w:t>
      </w:r>
    </w:p>
    <w:p w14:paraId="54891919" w14:textId="7BAEFBE7" w:rsidR="00F57214" w:rsidRPr="00EB55BA" w:rsidRDefault="00F57214" w:rsidP="00F57214">
      <w:pPr>
        <w:pStyle w:val="Prrafodelista"/>
        <w:numPr>
          <w:ilvl w:val="0"/>
          <w:numId w:val="4"/>
        </w:numPr>
        <w:jc w:val="both"/>
        <w:rPr>
          <w:lang w:val="tr-TR"/>
        </w:rPr>
      </w:pPr>
      <w:r w:rsidRPr="00EB55BA">
        <w:rPr>
          <w:lang w:val="tr-TR"/>
        </w:rPr>
        <w:t>Türk lirasındaki güçlü değer kaybı, ithal girdilerini pahalılaştırmakta ve ihracatı teşvik etmektedir.</w:t>
      </w:r>
    </w:p>
    <w:p w14:paraId="2A94C7D9" w14:textId="0C3B664E" w:rsidR="00F57214" w:rsidRPr="00EB55BA" w:rsidRDefault="00F57214" w:rsidP="00F57214">
      <w:pPr>
        <w:pStyle w:val="Prrafodelista"/>
        <w:numPr>
          <w:ilvl w:val="0"/>
          <w:numId w:val="4"/>
        </w:numPr>
        <w:jc w:val="both"/>
        <w:rPr>
          <w:lang w:val="tr-TR"/>
        </w:rPr>
      </w:pPr>
      <w:r w:rsidRPr="00EB55BA">
        <w:rPr>
          <w:lang w:val="tr-TR"/>
        </w:rPr>
        <w:t>Yüksek enflasyon, enerji, taşımacılık ve ücret maliyetlerini artırmaktadır.</w:t>
      </w:r>
    </w:p>
    <w:p w14:paraId="6C8BBE0C" w14:textId="73377556" w:rsidR="00F57214" w:rsidRPr="00EB55BA" w:rsidRDefault="00F57214" w:rsidP="00F57214">
      <w:pPr>
        <w:jc w:val="both"/>
        <w:rPr>
          <w:rFonts w:ascii="Aptos" w:eastAsia="Aptos" w:hAnsi="Aptos"/>
          <w:color w:val="000000" w:themeColor="text1"/>
          <w:lang w:val="tr-TR"/>
        </w:rPr>
      </w:pPr>
      <w:r w:rsidRPr="00EB55BA">
        <w:rPr>
          <w:rFonts w:ascii="Aptos" w:eastAsia="Aptos" w:hAnsi="Aptos"/>
          <w:color w:val="000000" w:themeColor="text1"/>
          <w:lang w:val="tr-TR"/>
        </w:rPr>
        <w:t>İncelenen dönemde Türk sanayisinde gözlemlenen kârlılık veya verimlilikteki herhangi bir düşüş makroekonomik faktörlerden kaynaklanmakta olup, ithalata atfedilemez.</w:t>
      </w:r>
    </w:p>
    <w:p w14:paraId="6C4A2A40" w14:textId="7AD3B62D" w:rsidR="54CABD66" w:rsidRPr="00EB55BA" w:rsidRDefault="54CABD66" w:rsidP="54CABD66">
      <w:pPr>
        <w:jc w:val="both"/>
        <w:rPr>
          <w:lang w:val="tr-TR"/>
        </w:rPr>
      </w:pPr>
    </w:p>
    <w:p w14:paraId="0839F9F7" w14:textId="748886D9" w:rsidR="001A2E97" w:rsidRPr="00EB55BA" w:rsidRDefault="325B7190" w:rsidP="54CABD66">
      <w:pPr>
        <w:jc w:val="both"/>
        <w:rPr>
          <w:rFonts w:eastAsiaTheme="minorEastAsia"/>
          <w:b/>
          <w:bCs/>
          <w:lang w:val="tr-TR"/>
        </w:rPr>
      </w:pPr>
      <w:r w:rsidRPr="00EB55BA">
        <w:rPr>
          <w:b/>
          <w:bCs/>
          <w:lang w:val="tr-TR"/>
        </w:rPr>
        <w:t xml:space="preserve">8. </w:t>
      </w:r>
      <w:r w:rsidR="00F57214" w:rsidRPr="00EB55BA">
        <w:rPr>
          <w:b/>
          <w:bCs/>
          <w:lang w:val="tr-TR"/>
        </w:rPr>
        <w:t>Sonuç</w:t>
      </w:r>
    </w:p>
    <w:p w14:paraId="43D21321" w14:textId="7B065A32" w:rsidR="005277CC" w:rsidRPr="00EB55BA" w:rsidRDefault="005277CC" w:rsidP="005277CC">
      <w:pPr>
        <w:jc w:val="both"/>
        <w:rPr>
          <w:lang w:val="tr-TR"/>
        </w:rPr>
      </w:pPr>
      <w:r w:rsidRPr="00EB55BA">
        <w:rPr>
          <w:lang w:val="tr-TR"/>
        </w:rPr>
        <w:t>İspanya, Başkanlığınızdan; uluslararası mevzuatta öngörülen şartların karşılanmamış olması nedeniyle soruşturmanın herhangi bir önlem uygulanmaksızın sonlandırılmasını talep etmektedir. Buna rağmen önlem tesis edilmesi hâlinde ise, tedbirlerin mümkün olan en az kısıtlayıcı nitelikte belirlenmesini, menşeler arasında ayrım yapılmasını ve İspanya gibi dürüst ticaret ortaklarının olumsuz etkilenmemesinin sağlanmasını rica etmektedir. Bu çerçevede, tarihsel ortalamalar ve giriş fiyatları esas alınarak ülke bazlı tarife kontenjanlarının uygulanması önerilebilir. Ayrıca, bunun iki yıl içinde kâğıt ürünlerine yönelik ikinci korunma önlemi olacağı ve bu durumun Türkiye’nin korumacı bir eğilim benimsediği yönünde bir algı yaratabileceği hususunun da dikkate alınması gerektiği ifade eder, bu vesileyle en derin saygılarımızı sunarız.</w:t>
      </w:r>
    </w:p>
    <w:p w14:paraId="39390115" w14:textId="77777777" w:rsidR="005277CC" w:rsidRPr="00EB55BA" w:rsidRDefault="005277CC" w:rsidP="005277CC">
      <w:pPr>
        <w:jc w:val="both"/>
        <w:rPr>
          <w:rFonts w:eastAsiaTheme="minorEastAsia"/>
          <w:lang w:val="tr-TR"/>
        </w:rPr>
      </w:pPr>
    </w:p>
    <w:sectPr w:rsidR="005277CC" w:rsidRPr="00EB55BA" w:rsidSect="00F57214">
      <w:headerReference w:type="default" r:id="rId10"/>
      <w:pgSz w:w="11906" w:h="16838"/>
      <w:pgMar w:top="1440"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F4D7B" w14:textId="77777777" w:rsidR="00214BDE" w:rsidRDefault="00214BDE">
      <w:pPr>
        <w:spacing w:after="0" w:line="240" w:lineRule="auto"/>
      </w:pPr>
      <w:r>
        <w:separator/>
      </w:r>
    </w:p>
  </w:endnote>
  <w:endnote w:type="continuationSeparator" w:id="0">
    <w:p w14:paraId="5F11270B" w14:textId="77777777" w:rsidR="00214BDE" w:rsidRDefault="00214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1F55A" w14:textId="77777777" w:rsidR="00214BDE" w:rsidRDefault="00214BDE">
      <w:pPr>
        <w:spacing w:after="0" w:line="240" w:lineRule="auto"/>
      </w:pPr>
      <w:r>
        <w:separator/>
      </w:r>
    </w:p>
  </w:footnote>
  <w:footnote w:type="continuationSeparator" w:id="0">
    <w:p w14:paraId="38241060" w14:textId="77777777" w:rsidR="00214BDE" w:rsidRDefault="00214B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6A0" w:firstRow="1" w:lastRow="0" w:firstColumn="1" w:lastColumn="0" w:noHBand="1" w:noVBand="1"/>
    </w:tblPr>
    <w:tblGrid>
      <w:gridCol w:w="3005"/>
      <w:gridCol w:w="3005"/>
      <w:gridCol w:w="3005"/>
    </w:tblGrid>
    <w:tr w:rsidR="618F2482" w14:paraId="55308ED7" w14:textId="77777777" w:rsidTr="618F2482">
      <w:trPr>
        <w:trHeight w:val="300"/>
      </w:trPr>
      <w:tc>
        <w:tcPr>
          <w:tcW w:w="3005" w:type="dxa"/>
        </w:tcPr>
        <w:p w14:paraId="384058D8" w14:textId="48ECFBF2" w:rsidR="618F2482" w:rsidRPr="00EB55BA" w:rsidRDefault="00EB55BA" w:rsidP="618F2482">
          <w:pPr>
            <w:pStyle w:val="Encabezado"/>
            <w:ind w:left="-115"/>
            <w:rPr>
              <w:sz w:val="16"/>
              <w:szCs w:val="16"/>
              <w:lang w:val="tr-TR"/>
            </w:rPr>
          </w:pPr>
          <w:r w:rsidRPr="00EB55BA">
            <w:rPr>
              <w:sz w:val="16"/>
              <w:szCs w:val="16"/>
              <w:lang w:val="tr-TR"/>
            </w:rPr>
            <w:t>Gizli Olmayan Özet</w:t>
          </w:r>
        </w:p>
      </w:tc>
      <w:tc>
        <w:tcPr>
          <w:tcW w:w="3005" w:type="dxa"/>
        </w:tcPr>
        <w:p w14:paraId="22D285B4" w14:textId="2DC82584" w:rsidR="618F2482" w:rsidRDefault="618F2482" w:rsidP="618F2482">
          <w:pPr>
            <w:pStyle w:val="Encabezado"/>
            <w:jc w:val="center"/>
          </w:pPr>
        </w:p>
      </w:tc>
      <w:tc>
        <w:tcPr>
          <w:tcW w:w="3005" w:type="dxa"/>
        </w:tcPr>
        <w:p w14:paraId="6955EFC9" w14:textId="27B035E6" w:rsidR="618F2482" w:rsidRDefault="618F2482" w:rsidP="618F2482">
          <w:pPr>
            <w:pStyle w:val="Encabezado"/>
            <w:ind w:right="-115"/>
            <w:jc w:val="right"/>
          </w:pPr>
        </w:p>
      </w:tc>
    </w:tr>
  </w:tbl>
  <w:p w14:paraId="6F48A74C" w14:textId="457BF7CC" w:rsidR="618F2482" w:rsidRDefault="618F2482" w:rsidP="618F248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B941E3"/>
    <w:multiLevelType w:val="hybridMultilevel"/>
    <w:tmpl w:val="FFFFFFFF"/>
    <w:lvl w:ilvl="0" w:tplc="35CC4450">
      <w:start w:val="1"/>
      <w:numFmt w:val="decimal"/>
      <w:lvlText w:val="%1."/>
      <w:lvlJc w:val="left"/>
      <w:pPr>
        <w:ind w:left="720" w:hanging="360"/>
      </w:pPr>
    </w:lvl>
    <w:lvl w:ilvl="1" w:tplc="121AAE8C">
      <w:start w:val="1"/>
      <w:numFmt w:val="lowerLetter"/>
      <w:lvlText w:val="%2."/>
      <w:lvlJc w:val="left"/>
      <w:pPr>
        <w:ind w:left="1440" w:hanging="360"/>
      </w:pPr>
    </w:lvl>
    <w:lvl w:ilvl="2" w:tplc="BA967CE6">
      <w:start w:val="1"/>
      <w:numFmt w:val="lowerRoman"/>
      <w:lvlText w:val="%3."/>
      <w:lvlJc w:val="right"/>
      <w:pPr>
        <w:ind w:left="2160" w:hanging="180"/>
      </w:pPr>
    </w:lvl>
    <w:lvl w:ilvl="3" w:tplc="F2FC4AD6">
      <w:start w:val="1"/>
      <w:numFmt w:val="decimal"/>
      <w:lvlText w:val="%4."/>
      <w:lvlJc w:val="left"/>
      <w:pPr>
        <w:ind w:left="2880" w:hanging="360"/>
      </w:pPr>
    </w:lvl>
    <w:lvl w:ilvl="4" w:tplc="84F8C6A2">
      <w:start w:val="1"/>
      <w:numFmt w:val="lowerLetter"/>
      <w:lvlText w:val="%5."/>
      <w:lvlJc w:val="left"/>
      <w:pPr>
        <w:ind w:left="3600" w:hanging="360"/>
      </w:pPr>
    </w:lvl>
    <w:lvl w:ilvl="5" w:tplc="B9E635B4">
      <w:start w:val="1"/>
      <w:numFmt w:val="lowerRoman"/>
      <w:lvlText w:val="%6."/>
      <w:lvlJc w:val="right"/>
      <w:pPr>
        <w:ind w:left="4320" w:hanging="180"/>
      </w:pPr>
    </w:lvl>
    <w:lvl w:ilvl="6" w:tplc="886C2334">
      <w:start w:val="1"/>
      <w:numFmt w:val="decimal"/>
      <w:lvlText w:val="%7."/>
      <w:lvlJc w:val="left"/>
      <w:pPr>
        <w:ind w:left="5040" w:hanging="360"/>
      </w:pPr>
    </w:lvl>
    <w:lvl w:ilvl="7" w:tplc="DB1686C2">
      <w:start w:val="1"/>
      <w:numFmt w:val="lowerLetter"/>
      <w:lvlText w:val="%8."/>
      <w:lvlJc w:val="left"/>
      <w:pPr>
        <w:ind w:left="5760" w:hanging="360"/>
      </w:pPr>
    </w:lvl>
    <w:lvl w:ilvl="8" w:tplc="46BE411C">
      <w:start w:val="1"/>
      <w:numFmt w:val="lowerRoman"/>
      <w:lvlText w:val="%9."/>
      <w:lvlJc w:val="right"/>
      <w:pPr>
        <w:ind w:left="6480" w:hanging="180"/>
      </w:pPr>
    </w:lvl>
  </w:abstractNum>
  <w:abstractNum w:abstractNumId="1" w15:restartNumberingAfterBreak="0">
    <w:nsid w:val="3B4D2FFE"/>
    <w:multiLevelType w:val="hybridMultilevel"/>
    <w:tmpl w:val="FFFFFFFF"/>
    <w:lvl w:ilvl="0" w:tplc="06765EE0">
      <w:start w:val="1"/>
      <w:numFmt w:val="bullet"/>
      <w:lvlText w:val=""/>
      <w:lvlJc w:val="left"/>
      <w:pPr>
        <w:ind w:left="720" w:hanging="360"/>
      </w:pPr>
      <w:rPr>
        <w:rFonts w:ascii="Symbol" w:hAnsi="Symbol" w:hint="default"/>
      </w:rPr>
    </w:lvl>
    <w:lvl w:ilvl="1" w:tplc="414C6356">
      <w:start w:val="1"/>
      <w:numFmt w:val="bullet"/>
      <w:lvlText w:val="o"/>
      <w:lvlJc w:val="left"/>
      <w:pPr>
        <w:ind w:left="1440" w:hanging="360"/>
      </w:pPr>
      <w:rPr>
        <w:rFonts w:ascii="Courier New" w:hAnsi="Courier New" w:hint="default"/>
      </w:rPr>
    </w:lvl>
    <w:lvl w:ilvl="2" w:tplc="6FDCAD6E">
      <w:start w:val="1"/>
      <w:numFmt w:val="bullet"/>
      <w:lvlText w:val=""/>
      <w:lvlJc w:val="left"/>
      <w:pPr>
        <w:ind w:left="2160" w:hanging="360"/>
      </w:pPr>
      <w:rPr>
        <w:rFonts w:ascii="Wingdings" w:hAnsi="Wingdings" w:hint="default"/>
      </w:rPr>
    </w:lvl>
    <w:lvl w:ilvl="3" w:tplc="E8A82D8C">
      <w:start w:val="1"/>
      <w:numFmt w:val="bullet"/>
      <w:lvlText w:val=""/>
      <w:lvlJc w:val="left"/>
      <w:pPr>
        <w:ind w:left="2880" w:hanging="360"/>
      </w:pPr>
      <w:rPr>
        <w:rFonts w:ascii="Symbol" w:hAnsi="Symbol" w:hint="default"/>
      </w:rPr>
    </w:lvl>
    <w:lvl w:ilvl="4" w:tplc="BA4EC40E">
      <w:start w:val="1"/>
      <w:numFmt w:val="bullet"/>
      <w:lvlText w:val="o"/>
      <w:lvlJc w:val="left"/>
      <w:pPr>
        <w:ind w:left="3600" w:hanging="360"/>
      </w:pPr>
      <w:rPr>
        <w:rFonts w:ascii="Courier New" w:hAnsi="Courier New" w:hint="default"/>
      </w:rPr>
    </w:lvl>
    <w:lvl w:ilvl="5" w:tplc="F2A0A604">
      <w:start w:val="1"/>
      <w:numFmt w:val="bullet"/>
      <w:lvlText w:val=""/>
      <w:lvlJc w:val="left"/>
      <w:pPr>
        <w:ind w:left="4320" w:hanging="360"/>
      </w:pPr>
      <w:rPr>
        <w:rFonts w:ascii="Wingdings" w:hAnsi="Wingdings" w:hint="default"/>
      </w:rPr>
    </w:lvl>
    <w:lvl w:ilvl="6" w:tplc="99E8D8BC">
      <w:start w:val="1"/>
      <w:numFmt w:val="bullet"/>
      <w:lvlText w:val=""/>
      <w:lvlJc w:val="left"/>
      <w:pPr>
        <w:ind w:left="5040" w:hanging="360"/>
      </w:pPr>
      <w:rPr>
        <w:rFonts w:ascii="Symbol" w:hAnsi="Symbol" w:hint="default"/>
      </w:rPr>
    </w:lvl>
    <w:lvl w:ilvl="7" w:tplc="641E6A68">
      <w:start w:val="1"/>
      <w:numFmt w:val="bullet"/>
      <w:lvlText w:val="o"/>
      <w:lvlJc w:val="left"/>
      <w:pPr>
        <w:ind w:left="5760" w:hanging="360"/>
      </w:pPr>
      <w:rPr>
        <w:rFonts w:ascii="Courier New" w:hAnsi="Courier New" w:hint="default"/>
      </w:rPr>
    </w:lvl>
    <w:lvl w:ilvl="8" w:tplc="8D489762">
      <w:start w:val="1"/>
      <w:numFmt w:val="bullet"/>
      <w:lvlText w:val=""/>
      <w:lvlJc w:val="left"/>
      <w:pPr>
        <w:ind w:left="6480" w:hanging="360"/>
      </w:pPr>
      <w:rPr>
        <w:rFonts w:ascii="Wingdings" w:hAnsi="Wingdings" w:hint="default"/>
      </w:rPr>
    </w:lvl>
  </w:abstractNum>
  <w:abstractNum w:abstractNumId="2" w15:restartNumberingAfterBreak="0">
    <w:nsid w:val="3DA8B984"/>
    <w:multiLevelType w:val="hybridMultilevel"/>
    <w:tmpl w:val="FFFFFFFF"/>
    <w:lvl w:ilvl="0" w:tplc="8E8C1E4C">
      <w:start w:val="1"/>
      <w:numFmt w:val="bullet"/>
      <w:lvlText w:val=""/>
      <w:lvlJc w:val="left"/>
      <w:pPr>
        <w:ind w:left="720" w:hanging="360"/>
      </w:pPr>
      <w:rPr>
        <w:rFonts w:ascii="Symbol" w:hAnsi="Symbol" w:hint="default"/>
      </w:rPr>
    </w:lvl>
    <w:lvl w:ilvl="1" w:tplc="8B70A9B2">
      <w:start w:val="1"/>
      <w:numFmt w:val="bullet"/>
      <w:lvlText w:val="o"/>
      <w:lvlJc w:val="left"/>
      <w:pPr>
        <w:ind w:left="1440" w:hanging="360"/>
      </w:pPr>
      <w:rPr>
        <w:rFonts w:ascii="Courier New" w:hAnsi="Courier New" w:hint="default"/>
      </w:rPr>
    </w:lvl>
    <w:lvl w:ilvl="2" w:tplc="A0742392">
      <w:start w:val="1"/>
      <w:numFmt w:val="bullet"/>
      <w:lvlText w:val=""/>
      <w:lvlJc w:val="left"/>
      <w:pPr>
        <w:ind w:left="2160" w:hanging="360"/>
      </w:pPr>
      <w:rPr>
        <w:rFonts w:ascii="Wingdings" w:hAnsi="Wingdings" w:hint="default"/>
      </w:rPr>
    </w:lvl>
    <w:lvl w:ilvl="3" w:tplc="03D09032">
      <w:start w:val="1"/>
      <w:numFmt w:val="bullet"/>
      <w:lvlText w:val=""/>
      <w:lvlJc w:val="left"/>
      <w:pPr>
        <w:ind w:left="2880" w:hanging="360"/>
      </w:pPr>
      <w:rPr>
        <w:rFonts w:ascii="Symbol" w:hAnsi="Symbol" w:hint="default"/>
      </w:rPr>
    </w:lvl>
    <w:lvl w:ilvl="4" w:tplc="63D2FCDE">
      <w:start w:val="1"/>
      <w:numFmt w:val="bullet"/>
      <w:lvlText w:val="o"/>
      <w:lvlJc w:val="left"/>
      <w:pPr>
        <w:ind w:left="3600" w:hanging="360"/>
      </w:pPr>
      <w:rPr>
        <w:rFonts w:ascii="Courier New" w:hAnsi="Courier New" w:hint="default"/>
      </w:rPr>
    </w:lvl>
    <w:lvl w:ilvl="5" w:tplc="806E6464">
      <w:start w:val="1"/>
      <w:numFmt w:val="bullet"/>
      <w:lvlText w:val=""/>
      <w:lvlJc w:val="left"/>
      <w:pPr>
        <w:ind w:left="4320" w:hanging="360"/>
      </w:pPr>
      <w:rPr>
        <w:rFonts w:ascii="Wingdings" w:hAnsi="Wingdings" w:hint="default"/>
      </w:rPr>
    </w:lvl>
    <w:lvl w:ilvl="6" w:tplc="AB242782">
      <w:start w:val="1"/>
      <w:numFmt w:val="bullet"/>
      <w:lvlText w:val=""/>
      <w:lvlJc w:val="left"/>
      <w:pPr>
        <w:ind w:left="5040" w:hanging="360"/>
      </w:pPr>
      <w:rPr>
        <w:rFonts w:ascii="Symbol" w:hAnsi="Symbol" w:hint="default"/>
      </w:rPr>
    </w:lvl>
    <w:lvl w:ilvl="7" w:tplc="1BBA2682">
      <w:start w:val="1"/>
      <w:numFmt w:val="bullet"/>
      <w:lvlText w:val="o"/>
      <w:lvlJc w:val="left"/>
      <w:pPr>
        <w:ind w:left="5760" w:hanging="360"/>
      </w:pPr>
      <w:rPr>
        <w:rFonts w:ascii="Courier New" w:hAnsi="Courier New" w:hint="default"/>
      </w:rPr>
    </w:lvl>
    <w:lvl w:ilvl="8" w:tplc="A9E4FB12">
      <w:start w:val="1"/>
      <w:numFmt w:val="bullet"/>
      <w:lvlText w:val=""/>
      <w:lvlJc w:val="left"/>
      <w:pPr>
        <w:ind w:left="6480" w:hanging="360"/>
      </w:pPr>
      <w:rPr>
        <w:rFonts w:ascii="Wingdings" w:hAnsi="Wingdings" w:hint="default"/>
      </w:rPr>
    </w:lvl>
  </w:abstractNum>
  <w:abstractNum w:abstractNumId="3" w15:restartNumberingAfterBreak="0">
    <w:nsid w:val="3EBAF910"/>
    <w:multiLevelType w:val="hybridMultilevel"/>
    <w:tmpl w:val="FFFFFFFF"/>
    <w:lvl w:ilvl="0" w:tplc="C38AF606">
      <w:start w:val="1"/>
      <w:numFmt w:val="bullet"/>
      <w:lvlText w:val=""/>
      <w:lvlJc w:val="left"/>
      <w:pPr>
        <w:ind w:left="720" w:hanging="360"/>
      </w:pPr>
      <w:rPr>
        <w:rFonts w:ascii="Symbol" w:hAnsi="Symbol" w:hint="default"/>
      </w:rPr>
    </w:lvl>
    <w:lvl w:ilvl="1" w:tplc="0EC4C100">
      <w:start w:val="1"/>
      <w:numFmt w:val="bullet"/>
      <w:lvlText w:val="o"/>
      <w:lvlJc w:val="left"/>
      <w:pPr>
        <w:ind w:left="1440" w:hanging="360"/>
      </w:pPr>
      <w:rPr>
        <w:rFonts w:ascii="Courier New" w:hAnsi="Courier New" w:hint="default"/>
      </w:rPr>
    </w:lvl>
    <w:lvl w:ilvl="2" w:tplc="A81A8C02">
      <w:start w:val="1"/>
      <w:numFmt w:val="bullet"/>
      <w:lvlText w:val=""/>
      <w:lvlJc w:val="left"/>
      <w:pPr>
        <w:ind w:left="2160" w:hanging="360"/>
      </w:pPr>
      <w:rPr>
        <w:rFonts w:ascii="Wingdings" w:hAnsi="Wingdings" w:hint="default"/>
      </w:rPr>
    </w:lvl>
    <w:lvl w:ilvl="3" w:tplc="9CE0E174">
      <w:start w:val="1"/>
      <w:numFmt w:val="bullet"/>
      <w:lvlText w:val=""/>
      <w:lvlJc w:val="left"/>
      <w:pPr>
        <w:ind w:left="2880" w:hanging="360"/>
      </w:pPr>
      <w:rPr>
        <w:rFonts w:ascii="Symbol" w:hAnsi="Symbol" w:hint="default"/>
      </w:rPr>
    </w:lvl>
    <w:lvl w:ilvl="4" w:tplc="C1546400">
      <w:start w:val="1"/>
      <w:numFmt w:val="bullet"/>
      <w:lvlText w:val="o"/>
      <w:lvlJc w:val="left"/>
      <w:pPr>
        <w:ind w:left="3600" w:hanging="360"/>
      </w:pPr>
      <w:rPr>
        <w:rFonts w:ascii="Courier New" w:hAnsi="Courier New" w:hint="default"/>
      </w:rPr>
    </w:lvl>
    <w:lvl w:ilvl="5" w:tplc="B7548B08">
      <w:start w:val="1"/>
      <w:numFmt w:val="bullet"/>
      <w:lvlText w:val=""/>
      <w:lvlJc w:val="left"/>
      <w:pPr>
        <w:ind w:left="4320" w:hanging="360"/>
      </w:pPr>
      <w:rPr>
        <w:rFonts w:ascii="Wingdings" w:hAnsi="Wingdings" w:hint="default"/>
      </w:rPr>
    </w:lvl>
    <w:lvl w:ilvl="6" w:tplc="2FB00040">
      <w:start w:val="1"/>
      <w:numFmt w:val="bullet"/>
      <w:lvlText w:val=""/>
      <w:lvlJc w:val="left"/>
      <w:pPr>
        <w:ind w:left="5040" w:hanging="360"/>
      </w:pPr>
      <w:rPr>
        <w:rFonts w:ascii="Symbol" w:hAnsi="Symbol" w:hint="default"/>
      </w:rPr>
    </w:lvl>
    <w:lvl w:ilvl="7" w:tplc="CECC27E2">
      <w:start w:val="1"/>
      <w:numFmt w:val="bullet"/>
      <w:lvlText w:val="o"/>
      <w:lvlJc w:val="left"/>
      <w:pPr>
        <w:ind w:left="5760" w:hanging="360"/>
      </w:pPr>
      <w:rPr>
        <w:rFonts w:ascii="Courier New" w:hAnsi="Courier New" w:hint="default"/>
      </w:rPr>
    </w:lvl>
    <w:lvl w:ilvl="8" w:tplc="58A6502A">
      <w:start w:val="1"/>
      <w:numFmt w:val="bullet"/>
      <w:lvlText w:val=""/>
      <w:lvlJc w:val="left"/>
      <w:pPr>
        <w:ind w:left="6480" w:hanging="360"/>
      </w:pPr>
      <w:rPr>
        <w:rFonts w:ascii="Wingdings" w:hAnsi="Wingdings" w:hint="default"/>
      </w:rPr>
    </w:lvl>
  </w:abstractNum>
  <w:abstractNum w:abstractNumId="4" w15:restartNumberingAfterBreak="0">
    <w:nsid w:val="485028C0"/>
    <w:multiLevelType w:val="hybridMultilevel"/>
    <w:tmpl w:val="FFFFFFFF"/>
    <w:lvl w:ilvl="0" w:tplc="8B92E86C">
      <w:start w:val="1"/>
      <w:numFmt w:val="bullet"/>
      <w:lvlText w:val=""/>
      <w:lvlJc w:val="left"/>
      <w:pPr>
        <w:ind w:left="720" w:hanging="360"/>
      </w:pPr>
      <w:rPr>
        <w:rFonts w:ascii="Symbol" w:hAnsi="Symbol" w:hint="default"/>
      </w:rPr>
    </w:lvl>
    <w:lvl w:ilvl="1" w:tplc="3B92AB00">
      <w:start w:val="1"/>
      <w:numFmt w:val="bullet"/>
      <w:lvlText w:val="o"/>
      <w:lvlJc w:val="left"/>
      <w:pPr>
        <w:ind w:left="1440" w:hanging="360"/>
      </w:pPr>
      <w:rPr>
        <w:rFonts w:ascii="Courier New" w:hAnsi="Courier New" w:hint="default"/>
      </w:rPr>
    </w:lvl>
    <w:lvl w:ilvl="2" w:tplc="B03A3C34">
      <w:start w:val="1"/>
      <w:numFmt w:val="bullet"/>
      <w:lvlText w:val=""/>
      <w:lvlJc w:val="left"/>
      <w:pPr>
        <w:ind w:left="2160" w:hanging="360"/>
      </w:pPr>
      <w:rPr>
        <w:rFonts w:ascii="Wingdings" w:hAnsi="Wingdings" w:hint="default"/>
      </w:rPr>
    </w:lvl>
    <w:lvl w:ilvl="3" w:tplc="16503C10">
      <w:start w:val="1"/>
      <w:numFmt w:val="bullet"/>
      <w:lvlText w:val=""/>
      <w:lvlJc w:val="left"/>
      <w:pPr>
        <w:ind w:left="2880" w:hanging="360"/>
      </w:pPr>
      <w:rPr>
        <w:rFonts w:ascii="Symbol" w:hAnsi="Symbol" w:hint="default"/>
      </w:rPr>
    </w:lvl>
    <w:lvl w:ilvl="4" w:tplc="7D22FA58">
      <w:start w:val="1"/>
      <w:numFmt w:val="bullet"/>
      <w:lvlText w:val="o"/>
      <w:lvlJc w:val="left"/>
      <w:pPr>
        <w:ind w:left="3600" w:hanging="360"/>
      </w:pPr>
      <w:rPr>
        <w:rFonts w:ascii="Courier New" w:hAnsi="Courier New" w:hint="default"/>
      </w:rPr>
    </w:lvl>
    <w:lvl w:ilvl="5" w:tplc="A5C05A10">
      <w:start w:val="1"/>
      <w:numFmt w:val="bullet"/>
      <w:lvlText w:val=""/>
      <w:lvlJc w:val="left"/>
      <w:pPr>
        <w:ind w:left="4320" w:hanging="360"/>
      </w:pPr>
      <w:rPr>
        <w:rFonts w:ascii="Wingdings" w:hAnsi="Wingdings" w:hint="default"/>
      </w:rPr>
    </w:lvl>
    <w:lvl w:ilvl="6" w:tplc="89F8512E">
      <w:start w:val="1"/>
      <w:numFmt w:val="bullet"/>
      <w:lvlText w:val=""/>
      <w:lvlJc w:val="left"/>
      <w:pPr>
        <w:ind w:left="5040" w:hanging="360"/>
      </w:pPr>
      <w:rPr>
        <w:rFonts w:ascii="Symbol" w:hAnsi="Symbol" w:hint="default"/>
      </w:rPr>
    </w:lvl>
    <w:lvl w:ilvl="7" w:tplc="AFE2FC2E">
      <w:start w:val="1"/>
      <w:numFmt w:val="bullet"/>
      <w:lvlText w:val="o"/>
      <w:lvlJc w:val="left"/>
      <w:pPr>
        <w:ind w:left="5760" w:hanging="360"/>
      </w:pPr>
      <w:rPr>
        <w:rFonts w:ascii="Courier New" w:hAnsi="Courier New" w:hint="default"/>
      </w:rPr>
    </w:lvl>
    <w:lvl w:ilvl="8" w:tplc="15C233B0">
      <w:start w:val="1"/>
      <w:numFmt w:val="bullet"/>
      <w:lvlText w:val=""/>
      <w:lvlJc w:val="left"/>
      <w:pPr>
        <w:ind w:left="6480" w:hanging="360"/>
      </w:pPr>
      <w:rPr>
        <w:rFonts w:ascii="Wingdings" w:hAnsi="Wingdings" w:hint="default"/>
      </w:rPr>
    </w:lvl>
  </w:abstractNum>
  <w:abstractNum w:abstractNumId="5" w15:restartNumberingAfterBreak="0">
    <w:nsid w:val="51CA6D66"/>
    <w:multiLevelType w:val="hybridMultilevel"/>
    <w:tmpl w:val="FFFFFFFF"/>
    <w:lvl w:ilvl="0" w:tplc="D43A4220">
      <w:start w:val="1"/>
      <w:numFmt w:val="bullet"/>
      <w:lvlText w:val=""/>
      <w:lvlJc w:val="left"/>
      <w:pPr>
        <w:ind w:left="720" w:hanging="360"/>
      </w:pPr>
      <w:rPr>
        <w:rFonts w:ascii="Symbol" w:hAnsi="Symbol" w:hint="default"/>
      </w:rPr>
    </w:lvl>
    <w:lvl w:ilvl="1" w:tplc="23CEE958">
      <w:start w:val="1"/>
      <w:numFmt w:val="bullet"/>
      <w:lvlText w:val="o"/>
      <w:lvlJc w:val="left"/>
      <w:pPr>
        <w:ind w:left="1440" w:hanging="360"/>
      </w:pPr>
      <w:rPr>
        <w:rFonts w:ascii="Courier New" w:hAnsi="Courier New" w:hint="default"/>
      </w:rPr>
    </w:lvl>
    <w:lvl w:ilvl="2" w:tplc="68B08CDE">
      <w:start w:val="1"/>
      <w:numFmt w:val="bullet"/>
      <w:lvlText w:val=""/>
      <w:lvlJc w:val="left"/>
      <w:pPr>
        <w:ind w:left="2160" w:hanging="360"/>
      </w:pPr>
      <w:rPr>
        <w:rFonts w:ascii="Wingdings" w:hAnsi="Wingdings" w:hint="default"/>
      </w:rPr>
    </w:lvl>
    <w:lvl w:ilvl="3" w:tplc="BCF8080E">
      <w:start w:val="1"/>
      <w:numFmt w:val="bullet"/>
      <w:lvlText w:val=""/>
      <w:lvlJc w:val="left"/>
      <w:pPr>
        <w:ind w:left="2880" w:hanging="360"/>
      </w:pPr>
      <w:rPr>
        <w:rFonts w:ascii="Symbol" w:hAnsi="Symbol" w:hint="default"/>
      </w:rPr>
    </w:lvl>
    <w:lvl w:ilvl="4" w:tplc="709EF89A">
      <w:start w:val="1"/>
      <w:numFmt w:val="bullet"/>
      <w:lvlText w:val="o"/>
      <w:lvlJc w:val="left"/>
      <w:pPr>
        <w:ind w:left="3600" w:hanging="360"/>
      </w:pPr>
      <w:rPr>
        <w:rFonts w:ascii="Courier New" w:hAnsi="Courier New" w:hint="default"/>
      </w:rPr>
    </w:lvl>
    <w:lvl w:ilvl="5" w:tplc="CF20858E">
      <w:start w:val="1"/>
      <w:numFmt w:val="bullet"/>
      <w:lvlText w:val=""/>
      <w:lvlJc w:val="left"/>
      <w:pPr>
        <w:ind w:left="4320" w:hanging="360"/>
      </w:pPr>
      <w:rPr>
        <w:rFonts w:ascii="Wingdings" w:hAnsi="Wingdings" w:hint="default"/>
      </w:rPr>
    </w:lvl>
    <w:lvl w:ilvl="6" w:tplc="210A081A">
      <w:start w:val="1"/>
      <w:numFmt w:val="bullet"/>
      <w:lvlText w:val=""/>
      <w:lvlJc w:val="left"/>
      <w:pPr>
        <w:ind w:left="5040" w:hanging="360"/>
      </w:pPr>
      <w:rPr>
        <w:rFonts w:ascii="Symbol" w:hAnsi="Symbol" w:hint="default"/>
      </w:rPr>
    </w:lvl>
    <w:lvl w:ilvl="7" w:tplc="0B4837E0">
      <w:start w:val="1"/>
      <w:numFmt w:val="bullet"/>
      <w:lvlText w:val="o"/>
      <w:lvlJc w:val="left"/>
      <w:pPr>
        <w:ind w:left="5760" w:hanging="360"/>
      </w:pPr>
      <w:rPr>
        <w:rFonts w:ascii="Courier New" w:hAnsi="Courier New" w:hint="default"/>
      </w:rPr>
    </w:lvl>
    <w:lvl w:ilvl="8" w:tplc="E7345EF4">
      <w:start w:val="1"/>
      <w:numFmt w:val="bullet"/>
      <w:lvlText w:val=""/>
      <w:lvlJc w:val="left"/>
      <w:pPr>
        <w:ind w:left="6480" w:hanging="360"/>
      </w:pPr>
      <w:rPr>
        <w:rFonts w:ascii="Wingdings" w:hAnsi="Wingdings" w:hint="default"/>
      </w:rPr>
    </w:lvl>
  </w:abstractNum>
  <w:abstractNum w:abstractNumId="6" w15:restartNumberingAfterBreak="0">
    <w:nsid w:val="566A6ADE"/>
    <w:multiLevelType w:val="hybridMultilevel"/>
    <w:tmpl w:val="FFFFFFFF"/>
    <w:lvl w:ilvl="0" w:tplc="73DC49D4">
      <w:start w:val="1"/>
      <w:numFmt w:val="bullet"/>
      <w:lvlText w:val=""/>
      <w:lvlJc w:val="left"/>
      <w:pPr>
        <w:ind w:left="720" w:hanging="360"/>
      </w:pPr>
      <w:rPr>
        <w:rFonts w:ascii="Symbol" w:hAnsi="Symbol" w:hint="default"/>
      </w:rPr>
    </w:lvl>
    <w:lvl w:ilvl="1" w:tplc="AF32BA4E">
      <w:start w:val="1"/>
      <w:numFmt w:val="bullet"/>
      <w:lvlText w:val="o"/>
      <w:lvlJc w:val="left"/>
      <w:pPr>
        <w:ind w:left="1440" w:hanging="360"/>
      </w:pPr>
      <w:rPr>
        <w:rFonts w:ascii="Courier New" w:hAnsi="Courier New" w:hint="default"/>
      </w:rPr>
    </w:lvl>
    <w:lvl w:ilvl="2" w:tplc="BF908252">
      <w:start w:val="1"/>
      <w:numFmt w:val="bullet"/>
      <w:lvlText w:val=""/>
      <w:lvlJc w:val="left"/>
      <w:pPr>
        <w:ind w:left="2160" w:hanging="360"/>
      </w:pPr>
      <w:rPr>
        <w:rFonts w:ascii="Wingdings" w:hAnsi="Wingdings" w:hint="default"/>
      </w:rPr>
    </w:lvl>
    <w:lvl w:ilvl="3" w:tplc="F2C4E632">
      <w:start w:val="1"/>
      <w:numFmt w:val="bullet"/>
      <w:lvlText w:val=""/>
      <w:lvlJc w:val="left"/>
      <w:pPr>
        <w:ind w:left="2880" w:hanging="360"/>
      </w:pPr>
      <w:rPr>
        <w:rFonts w:ascii="Symbol" w:hAnsi="Symbol" w:hint="default"/>
      </w:rPr>
    </w:lvl>
    <w:lvl w:ilvl="4" w:tplc="A62C5FC0">
      <w:start w:val="1"/>
      <w:numFmt w:val="bullet"/>
      <w:lvlText w:val="o"/>
      <w:lvlJc w:val="left"/>
      <w:pPr>
        <w:ind w:left="3600" w:hanging="360"/>
      </w:pPr>
      <w:rPr>
        <w:rFonts w:ascii="Courier New" w:hAnsi="Courier New" w:hint="default"/>
      </w:rPr>
    </w:lvl>
    <w:lvl w:ilvl="5" w:tplc="D062E3A6">
      <w:start w:val="1"/>
      <w:numFmt w:val="bullet"/>
      <w:lvlText w:val=""/>
      <w:lvlJc w:val="left"/>
      <w:pPr>
        <w:ind w:left="4320" w:hanging="360"/>
      </w:pPr>
      <w:rPr>
        <w:rFonts w:ascii="Wingdings" w:hAnsi="Wingdings" w:hint="default"/>
      </w:rPr>
    </w:lvl>
    <w:lvl w:ilvl="6" w:tplc="15C22BD2">
      <w:start w:val="1"/>
      <w:numFmt w:val="bullet"/>
      <w:lvlText w:val=""/>
      <w:lvlJc w:val="left"/>
      <w:pPr>
        <w:ind w:left="5040" w:hanging="360"/>
      </w:pPr>
      <w:rPr>
        <w:rFonts w:ascii="Symbol" w:hAnsi="Symbol" w:hint="default"/>
      </w:rPr>
    </w:lvl>
    <w:lvl w:ilvl="7" w:tplc="5CD82AD6">
      <w:start w:val="1"/>
      <w:numFmt w:val="bullet"/>
      <w:lvlText w:val="o"/>
      <w:lvlJc w:val="left"/>
      <w:pPr>
        <w:ind w:left="5760" w:hanging="360"/>
      </w:pPr>
      <w:rPr>
        <w:rFonts w:ascii="Courier New" w:hAnsi="Courier New" w:hint="default"/>
      </w:rPr>
    </w:lvl>
    <w:lvl w:ilvl="8" w:tplc="9E6C2C66">
      <w:start w:val="1"/>
      <w:numFmt w:val="bullet"/>
      <w:lvlText w:val=""/>
      <w:lvlJc w:val="left"/>
      <w:pPr>
        <w:ind w:left="6480" w:hanging="360"/>
      </w:pPr>
      <w:rPr>
        <w:rFonts w:ascii="Wingdings" w:hAnsi="Wingdings" w:hint="default"/>
      </w:rPr>
    </w:lvl>
  </w:abstractNum>
  <w:abstractNum w:abstractNumId="7" w15:restartNumberingAfterBreak="0">
    <w:nsid w:val="5D5C49C9"/>
    <w:multiLevelType w:val="hybridMultilevel"/>
    <w:tmpl w:val="FFFFFFFF"/>
    <w:lvl w:ilvl="0" w:tplc="0C1CCE9C">
      <w:start w:val="1"/>
      <w:numFmt w:val="bullet"/>
      <w:lvlText w:val=""/>
      <w:lvlJc w:val="left"/>
      <w:pPr>
        <w:ind w:left="720" w:hanging="360"/>
      </w:pPr>
      <w:rPr>
        <w:rFonts w:ascii="Symbol" w:hAnsi="Symbol" w:hint="default"/>
      </w:rPr>
    </w:lvl>
    <w:lvl w:ilvl="1" w:tplc="EA708A6C">
      <w:start w:val="1"/>
      <w:numFmt w:val="bullet"/>
      <w:lvlText w:val="o"/>
      <w:lvlJc w:val="left"/>
      <w:pPr>
        <w:ind w:left="1440" w:hanging="360"/>
      </w:pPr>
      <w:rPr>
        <w:rFonts w:ascii="Courier New" w:hAnsi="Courier New" w:hint="default"/>
      </w:rPr>
    </w:lvl>
    <w:lvl w:ilvl="2" w:tplc="D49615B4">
      <w:start w:val="1"/>
      <w:numFmt w:val="bullet"/>
      <w:lvlText w:val=""/>
      <w:lvlJc w:val="left"/>
      <w:pPr>
        <w:ind w:left="2160" w:hanging="360"/>
      </w:pPr>
      <w:rPr>
        <w:rFonts w:ascii="Wingdings" w:hAnsi="Wingdings" w:hint="default"/>
      </w:rPr>
    </w:lvl>
    <w:lvl w:ilvl="3" w:tplc="F9A62040">
      <w:start w:val="1"/>
      <w:numFmt w:val="bullet"/>
      <w:lvlText w:val=""/>
      <w:lvlJc w:val="left"/>
      <w:pPr>
        <w:ind w:left="2880" w:hanging="360"/>
      </w:pPr>
      <w:rPr>
        <w:rFonts w:ascii="Symbol" w:hAnsi="Symbol" w:hint="default"/>
      </w:rPr>
    </w:lvl>
    <w:lvl w:ilvl="4" w:tplc="7E527B20">
      <w:start w:val="1"/>
      <w:numFmt w:val="bullet"/>
      <w:lvlText w:val="o"/>
      <w:lvlJc w:val="left"/>
      <w:pPr>
        <w:ind w:left="3600" w:hanging="360"/>
      </w:pPr>
      <w:rPr>
        <w:rFonts w:ascii="Courier New" w:hAnsi="Courier New" w:hint="default"/>
      </w:rPr>
    </w:lvl>
    <w:lvl w:ilvl="5" w:tplc="DB2E116E">
      <w:start w:val="1"/>
      <w:numFmt w:val="bullet"/>
      <w:lvlText w:val=""/>
      <w:lvlJc w:val="left"/>
      <w:pPr>
        <w:ind w:left="4320" w:hanging="360"/>
      </w:pPr>
      <w:rPr>
        <w:rFonts w:ascii="Wingdings" w:hAnsi="Wingdings" w:hint="default"/>
      </w:rPr>
    </w:lvl>
    <w:lvl w:ilvl="6" w:tplc="29BC688C">
      <w:start w:val="1"/>
      <w:numFmt w:val="bullet"/>
      <w:lvlText w:val=""/>
      <w:lvlJc w:val="left"/>
      <w:pPr>
        <w:ind w:left="5040" w:hanging="360"/>
      </w:pPr>
      <w:rPr>
        <w:rFonts w:ascii="Symbol" w:hAnsi="Symbol" w:hint="default"/>
      </w:rPr>
    </w:lvl>
    <w:lvl w:ilvl="7" w:tplc="5CFCB93C">
      <w:start w:val="1"/>
      <w:numFmt w:val="bullet"/>
      <w:lvlText w:val="o"/>
      <w:lvlJc w:val="left"/>
      <w:pPr>
        <w:ind w:left="5760" w:hanging="360"/>
      </w:pPr>
      <w:rPr>
        <w:rFonts w:ascii="Courier New" w:hAnsi="Courier New" w:hint="default"/>
      </w:rPr>
    </w:lvl>
    <w:lvl w:ilvl="8" w:tplc="BA8E6DD0">
      <w:start w:val="1"/>
      <w:numFmt w:val="bullet"/>
      <w:lvlText w:val=""/>
      <w:lvlJc w:val="left"/>
      <w:pPr>
        <w:ind w:left="6480" w:hanging="360"/>
      </w:pPr>
      <w:rPr>
        <w:rFonts w:ascii="Wingdings" w:hAnsi="Wingdings" w:hint="default"/>
      </w:rPr>
    </w:lvl>
  </w:abstractNum>
  <w:abstractNum w:abstractNumId="8" w15:restartNumberingAfterBreak="0">
    <w:nsid w:val="6135F30F"/>
    <w:multiLevelType w:val="hybridMultilevel"/>
    <w:tmpl w:val="FFFFFFFF"/>
    <w:lvl w:ilvl="0" w:tplc="B9766852">
      <w:start w:val="1"/>
      <w:numFmt w:val="bullet"/>
      <w:lvlText w:val=""/>
      <w:lvlJc w:val="left"/>
      <w:pPr>
        <w:ind w:left="720" w:hanging="360"/>
      </w:pPr>
      <w:rPr>
        <w:rFonts w:ascii="Symbol" w:hAnsi="Symbol" w:hint="default"/>
      </w:rPr>
    </w:lvl>
    <w:lvl w:ilvl="1" w:tplc="96B4ED62">
      <w:start w:val="1"/>
      <w:numFmt w:val="bullet"/>
      <w:lvlText w:val="o"/>
      <w:lvlJc w:val="left"/>
      <w:pPr>
        <w:ind w:left="1440" w:hanging="360"/>
      </w:pPr>
      <w:rPr>
        <w:rFonts w:ascii="Courier New" w:hAnsi="Courier New" w:hint="default"/>
      </w:rPr>
    </w:lvl>
    <w:lvl w:ilvl="2" w:tplc="485668FC">
      <w:start w:val="1"/>
      <w:numFmt w:val="bullet"/>
      <w:lvlText w:val=""/>
      <w:lvlJc w:val="left"/>
      <w:pPr>
        <w:ind w:left="2160" w:hanging="360"/>
      </w:pPr>
      <w:rPr>
        <w:rFonts w:ascii="Wingdings" w:hAnsi="Wingdings" w:hint="default"/>
      </w:rPr>
    </w:lvl>
    <w:lvl w:ilvl="3" w:tplc="EEEC74C8">
      <w:start w:val="1"/>
      <w:numFmt w:val="bullet"/>
      <w:lvlText w:val=""/>
      <w:lvlJc w:val="left"/>
      <w:pPr>
        <w:ind w:left="2880" w:hanging="360"/>
      </w:pPr>
      <w:rPr>
        <w:rFonts w:ascii="Symbol" w:hAnsi="Symbol" w:hint="default"/>
      </w:rPr>
    </w:lvl>
    <w:lvl w:ilvl="4" w:tplc="ADFA055C">
      <w:start w:val="1"/>
      <w:numFmt w:val="bullet"/>
      <w:lvlText w:val="o"/>
      <w:lvlJc w:val="left"/>
      <w:pPr>
        <w:ind w:left="3600" w:hanging="360"/>
      </w:pPr>
      <w:rPr>
        <w:rFonts w:ascii="Courier New" w:hAnsi="Courier New" w:hint="default"/>
      </w:rPr>
    </w:lvl>
    <w:lvl w:ilvl="5" w:tplc="0BF622FA">
      <w:start w:val="1"/>
      <w:numFmt w:val="bullet"/>
      <w:lvlText w:val=""/>
      <w:lvlJc w:val="left"/>
      <w:pPr>
        <w:ind w:left="4320" w:hanging="360"/>
      </w:pPr>
      <w:rPr>
        <w:rFonts w:ascii="Wingdings" w:hAnsi="Wingdings" w:hint="default"/>
      </w:rPr>
    </w:lvl>
    <w:lvl w:ilvl="6" w:tplc="233E4416">
      <w:start w:val="1"/>
      <w:numFmt w:val="bullet"/>
      <w:lvlText w:val=""/>
      <w:lvlJc w:val="left"/>
      <w:pPr>
        <w:ind w:left="5040" w:hanging="360"/>
      </w:pPr>
      <w:rPr>
        <w:rFonts w:ascii="Symbol" w:hAnsi="Symbol" w:hint="default"/>
      </w:rPr>
    </w:lvl>
    <w:lvl w:ilvl="7" w:tplc="8BA47B92">
      <w:start w:val="1"/>
      <w:numFmt w:val="bullet"/>
      <w:lvlText w:val="o"/>
      <w:lvlJc w:val="left"/>
      <w:pPr>
        <w:ind w:left="5760" w:hanging="360"/>
      </w:pPr>
      <w:rPr>
        <w:rFonts w:ascii="Courier New" w:hAnsi="Courier New" w:hint="default"/>
      </w:rPr>
    </w:lvl>
    <w:lvl w:ilvl="8" w:tplc="F69A20FE">
      <w:start w:val="1"/>
      <w:numFmt w:val="bullet"/>
      <w:lvlText w:val=""/>
      <w:lvlJc w:val="left"/>
      <w:pPr>
        <w:ind w:left="6480" w:hanging="360"/>
      </w:pPr>
      <w:rPr>
        <w:rFonts w:ascii="Wingdings" w:hAnsi="Wingdings" w:hint="default"/>
      </w:rPr>
    </w:lvl>
  </w:abstractNum>
  <w:abstractNum w:abstractNumId="9" w15:restartNumberingAfterBreak="0">
    <w:nsid w:val="64A4AACD"/>
    <w:multiLevelType w:val="hybridMultilevel"/>
    <w:tmpl w:val="FFFFFFFF"/>
    <w:lvl w:ilvl="0" w:tplc="3F40F38E">
      <w:start w:val="1"/>
      <w:numFmt w:val="bullet"/>
      <w:lvlText w:val=""/>
      <w:lvlJc w:val="left"/>
      <w:pPr>
        <w:ind w:left="720" w:hanging="360"/>
      </w:pPr>
      <w:rPr>
        <w:rFonts w:ascii="Symbol" w:hAnsi="Symbol" w:hint="default"/>
      </w:rPr>
    </w:lvl>
    <w:lvl w:ilvl="1" w:tplc="4EE4030C">
      <w:start w:val="1"/>
      <w:numFmt w:val="bullet"/>
      <w:lvlText w:val="o"/>
      <w:lvlJc w:val="left"/>
      <w:pPr>
        <w:ind w:left="1440" w:hanging="360"/>
      </w:pPr>
      <w:rPr>
        <w:rFonts w:ascii="Courier New" w:hAnsi="Courier New" w:hint="default"/>
      </w:rPr>
    </w:lvl>
    <w:lvl w:ilvl="2" w:tplc="266C7C20">
      <w:start w:val="1"/>
      <w:numFmt w:val="bullet"/>
      <w:lvlText w:val=""/>
      <w:lvlJc w:val="left"/>
      <w:pPr>
        <w:ind w:left="2160" w:hanging="360"/>
      </w:pPr>
      <w:rPr>
        <w:rFonts w:ascii="Wingdings" w:hAnsi="Wingdings" w:hint="default"/>
      </w:rPr>
    </w:lvl>
    <w:lvl w:ilvl="3" w:tplc="67CC95A6">
      <w:start w:val="1"/>
      <w:numFmt w:val="bullet"/>
      <w:lvlText w:val=""/>
      <w:lvlJc w:val="left"/>
      <w:pPr>
        <w:ind w:left="2880" w:hanging="360"/>
      </w:pPr>
      <w:rPr>
        <w:rFonts w:ascii="Symbol" w:hAnsi="Symbol" w:hint="default"/>
      </w:rPr>
    </w:lvl>
    <w:lvl w:ilvl="4" w:tplc="8AB26A46">
      <w:start w:val="1"/>
      <w:numFmt w:val="bullet"/>
      <w:lvlText w:val="o"/>
      <w:lvlJc w:val="left"/>
      <w:pPr>
        <w:ind w:left="3600" w:hanging="360"/>
      </w:pPr>
      <w:rPr>
        <w:rFonts w:ascii="Courier New" w:hAnsi="Courier New" w:hint="default"/>
      </w:rPr>
    </w:lvl>
    <w:lvl w:ilvl="5" w:tplc="6E8C8E60">
      <w:start w:val="1"/>
      <w:numFmt w:val="bullet"/>
      <w:lvlText w:val=""/>
      <w:lvlJc w:val="left"/>
      <w:pPr>
        <w:ind w:left="4320" w:hanging="360"/>
      </w:pPr>
      <w:rPr>
        <w:rFonts w:ascii="Wingdings" w:hAnsi="Wingdings" w:hint="default"/>
      </w:rPr>
    </w:lvl>
    <w:lvl w:ilvl="6" w:tplc="79981D3A">
      <w:start w:val="1"/>
      <w:numFmt w:val="bullet"/>
      <w:lvlText w:val=""/>
      <w:lvlJc w:val="left"/>
      <w:pPr>
        <w:ind w:left="5040" w:hanging="360"/>
      </w:pPr>
      <w:rPr>
        <w:rFonts w:ascii="Symbol" w:hAnsi="Symbol" w:hint="default"/>
      </w:rPr>
    </w:lvl>
    <w:lvl w:ilvl="7" w:tplc="901C0CE6">
      <w:start w:val="1"/>
      <w:numFmt w:val="bullet"/>
      <w:lvlText w:val="o"/>
      <w:lvlJc w:val="left"/>
      <w:pPr>
        <w:ind w:left="5760" w:hanging="360"/>
      </w:pPr>
      <w:rPr>
        <w:rFonts w:ascii="Courier New" w:hAnsi="Courier New" w:hint="default"/>
      </w:rPr>
    </w:lvl>
    <w:lvl w:ilvl="8" w:tplc="23C45948">
      <w:start w:val="1"/>
      <w:numFmt w:val="bullet"/>
      <w:lvlText w:val=""/>
      <w:lvlJc w:val="left"/>
      <w:pPr>
        <w:ind w:left="6480" w:hanging="360"/>
      </w:pPr>
      <w:rPr>
        <w:rFonts w:ascii="Wingdings" w:hAnsi="Wingdings" w:hint="default"/>
      </w:rPr>
    </w:lvl>
  </w:abstractNum>
  <w:num w:numId="1" w16cid:durableId="1072853023">
    <w:abstractNumId w:val="4"/>
  </w:num>
  <w:num w:numId="2" w16cid:durableId="1190492463">
    <w:abstractNumId w:val="9"/>
  </w:num>
  <w:num w:numId="3" w16cid:durableId="1421027637">
    <w:abstractNumId w:val="7"/>
  </w:num>
  <w:num w:numId="4" w16cid:durableId="1730959972">
    <w:abstractNumId w:val="1"/>
  </w:num>
  <w:num w:numId="5" w16cid:durableId="1884173334">
    <w:abstractNumId w:val="6"/>
  </w:num>
  <w:num w:numId="6" w16cid:durableId="264461601">
    <w:abstractNumId w:val="8"/>
  </w:num>
  <w:num w:numId="7" w16cid:durableId="539317092">
    <w:abstractNumId w:val="3"/>
  </w:num>
  <w:num w:numId="8" w16cid:durableId="54746424">
    <w:abstractNumId w:val="0"/>
  </w:num>
  <w:num w:numId="9" w16cid:durableId="561987235">
    <w:abstractNumId w:val="5"/>
  </w:num>
  <w:num w:numId="10" w16cid:durableId="6776555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785BCA"/>
    <w:rsid w:val="0006784F"/>
    <w:rsid w:val="0006F0AA"/>
    <w:rsid w:val="000931F1"/>
    <w:rsid w:val="001156C3"/>
    <w:rsid w:val="00123A3C"/>
    <w:rsid w:val="001354A6"/>
    <w:rsid w:val="00143836"/>
    <w:rsid w:val="001660A8"/>
    <w:rsid w:val="00172CBD"/>
    <w:rsid w:val="00181FA6"/>
    <w:rsid w:val="001A2E97"/>
    <w:rsid w:val="001C6DFF"/>
    <w:rsid w:val="00214BDE"/>
    <w:rsid w:val="002277CA"/>
    <w:rsid w:val="002A4822"/>
    <w:rsid w:val="002C1023"/>
    <w:rsid w:val="002C2B73"/>
    <w:rsid w:val="002D59A4"/>
    <w:rsid w:val="003C72A3"/>
    <w:rsid w:val="00424CC8"/>
    <w:rsid w:val="0045333A"/>
    <w:rsid w:val="00462B10"/>
    <w:rsid w:val="00484E97"/>
    <w:rsid w:val="00492FF2"/>
    <w:rsid w:val="0049702C"/>
    <w:rsid w:val="004B442C"/>
    <w:rsid w:val="005277CC"/>
    <w:rsid w:val="0053467F"/>
    <w:rsid w:val="005811FD"/>
    <w:rsid w:val="005954F3"/>
    <w:rsid w:val="005C3FAE"/>
    <w:rsid w:val="005E3EA3"/>
    <w:rsid w:val="00612AF6"/>
    <w:rsid w:val="00617260"/>
    <w:rsid w:val="006218B9"/>
    <w:rsid w:val="00633187"/>
    <w:rsid w:val="006A0ACB"/>
    <w:rsid w:val="006D6553"/>
    <w:rsid w:val="006F0D5B"/>
    <w:rsid w:val="00767927"/>
    <w:rsid w:val="007A1997"/>
    <w:rsid w:val="007C2BEB"/>
    <w:rsid w:val="0084258D"/>
    <w:rsid w:val="009A7080"/>
    <w:rsid w:val="00A275C4"/>
    <w:rsid w:val="00A83609"/>
    <w:rsid w:val="00AE5C19"/>
    <w:rsid w:val="00B10080"/>
    <w:rsid w:val="00B14B4B"/>
    <w:rsid w:val="00B66AFB"/>
    <w:rsid w:val="00C246BA"/>
    <w:rsid w:val="00C6302D"/>
    <w:rsid w:val="00D34ED0"/>
    <w:rsid w:val="00D50B4A"/>
    <w:rsid w:val="00D6062C"/>
    <w:rsid w:val="00DB0AD3"/>
    <w:rsid w:val="00DF0C58"/>
    <w:rsid w:val="00E041BA"/>
    <w:rsid w:val="00EB0038"/>
    <w:rsid w:val="00EB55BA"/>
    <w:rsid w:val="00EE20F2"/>
    <w:rsid w:val="00EE7093"/>
    <w:rsid w:val="00EF4073"/>
    <w:rsid w:val="00F14E17"/>
    <w:rsid w:val="00F23826"/>
    <w:rsid w:val="00F477D3"/>
    <w:rsid w:val="00F57214"/>
    <w:rsid w:val="00FD2002"/>
    <w:rsid w:val="01F0A8AF"/>
    <w:rsid w:val="01FEACDA"/>
    <w:rsid w:val="02B368A6"/>
    <w:rsid w:val="02C49953"/>
    <w:rsid w:val="0345D046"/>
    <w:rsid w:val="03FA7B31"/>
    <w:rsid w:val="046991DE"/>
    <w:rsid w:val="050B9771"/>
    <w:rsid w:val="05D64EEC"/>
    <w:rsid w:val="06949DD7"/>
    <w:rsid w:val="07D37087"/>
    <w:rsid w:val="08CD6822"/>
    <w:rsid w:val="08FCF3E8"/>
    <w:rsid w:val="0943F54B"/>
    <w:rsid w:val="0AA4A13D"/>
    <w:rsid w:val="0AA7B919"/>
    <w:rsid w:val="0B8B9C5A"/>
    <w:rsid w:val="0D1C6C3E"/>
    <w:rsid w:val="0D8456E2"/>
    <w:rsid w:val="0DB68481"/>
    <w:rsid w:val="0E352512"/>
    <w:rsid w:val="0E7B2A42"/>
    <w:rsid w:val="0F381DD7"/>
    <w:rsid w:val="1084C991"/>
    <w:rsid w:val="10851C31"/>
    <w:rsid w:val="10CD823D"/>
    <w:rsid w:val="10DB4CD6"/>
    <w:rsid w:val="112EFD41"/>
    <w:rsid w:val="11FAB086"/>
    <w:rsid w:val="13A4E47E"/>
    <w:rsid w:val="13EFC167"/>
    <w:rsid w:val="14A5A434"/>
    <w:rsid w:val="14FD4C96"/>
    <w:rsid w:val="15B92106"/>
    <w:rsid w:val="15F791C3"/>
    <w:rsid w:val="16FCF180"/>
    <w:rsid w:val="17C7D6F0"/>
    <w:rsid w:val="18017814"/>
    <w:rsid w:val="184DF536"/>
    <w:rsid w:val="1866D581"/>
    <w:rsid w:val="19112F55"/>
    <w:rsid w:val="194BF937"/>
    <w:rsid w:val="196D30E3"/>
    <w:rsid w:val="19DA2901"/>
    <w:rsid w:val="1BBF5095"/>
    <w:rsid w:val="1BF47C7C"/>
    <w:rsid w:val="1C121E27"/>
    <w:rsid w:val="1CD98277"/>
    <w:rsid w:val="1DD490D5"/>
    <w:rsid w:val="1DFC8D25"/>
    <w:rsid w:val="1E022CA8"/>
    <w:rsid w:val="1ED425CF"/>
    <w:rsid w:val="1F597F84"/>
    <w:rsid w:val="20F2C953"/>
    <w:rsid w:val="221E47B6"/>
    <w:rsid w:val="225BD7D2"/>
    <w:rsid w:val="22C2EF0F"/>
    <w:rsid w:val="231D9FBB"/>
    <w:rsid w:val="23587FFE"/>
    <w:rsid w:val="23EC9CD0"/>
    <w:rsid w:val="249C79C0"/>
    <w:rsid w:val="249DCF7D"/>
    <w:rsid w:val="24B78C90"/>
    <w:rsid w:val="253E290C"/>
    <w:rsid w:val="2546C543"/>
    <w:rsid w:val="254F49A0"/>
    <w:rsid w:val="2583DFC3"/>
    <w:rsid w:val="25899E48"/>
    <w:rsid w:val="25A671A9"/>
    <w:rsid w:val="25A7B879"/>
    <w:rsid w:val="2786178C"/>
    <w:rsid w:val="27B501AB"/>
    <w:rsid w:val="2895E6E1"/>
    <w:rsid w:val="2984F9D4"/>
    <w:rsid w:val="29DE3419"/>
    <w:rsid w:val="2A5013B1"/>
    <w:rsid w:val="2B5AF235"/>
    <w:rsid w:val="2BB4EBB8"/>
    <w:rsid w:val="2CBD6636"/>
    <w:rsid w:val="2E0515F3"/>
    <w:rsid w:val="2EEFA5F2"/>
    <w:rsid w:val="2F641CA9"/>
    <w:rsid w:val="30003CD4"/>
    <w:rsid w:val="30FB27B5"/>
    <w:rsid w:val="315F2F99"/>
    <w:rsid w:val="31EB17F1"/>
    <w:rsid w:val="325B7190"/>
    <w:rsid w:val="34212C71"/>
    <w:rsid w:val="344B779F"/>
    <w:rsid w:val="346C0031"/>
    <w:rsid w:val="3725B48B"/>
    <w:rsid w:val="373C4777"/>
    <w:rsid w:val="374B3991"/>
    <w:rsid w:val="37CD70F7"/>
    <w:rsid w:val="38E43F42"/>
    <w:rsid w:val="3A3D705C"/>
    <w:rsid w:val="3A76B843"/>
    <w:rsid w:val="3AE4DB97"/>
    <w:rsid w:val="3BBC0D0E"/>
    <w:rsid w:val="3BD40943"/>
    <w:rsid w:val="3C6BC47A"/>
    <w:rsid w:val="3C97A862"/>
    <w:rsid w:val="3CCD99A7"/>
    <w:rsid w:val="3CCFA913"/>
    <w:rsid w:val="3CD7FF29"/>
    <w:rsid w:val="3D0615E4"/>
    <w:rsid w:val="3DC79DCF"/>
    <w:rsid w:val="3E09481B"/>
    <w:rsid w:val="3F77CFC6"/>
    <w:rsid w:val="3F8E9CF4"/>
    <w:rsid w:val="3FF9640C"/>
    <w:rsid w:val="40116BCE"/>
    <w:rsid w:val="4190CCCB"/>
    <w:rsid w:val="41FE94AF"/>
    <w:rsid w:val="42465086"/>
    <w:rsid w:val="424D2FFC"/>
    <w:rsid w:val="434F7A80"/>
    <w:rsid w:val="435D7AB8"/>
    <w:rsid w:val="4392FD9A"/>
    <w:rsid w:val="43AC5B34"/>
    <w:rsid w:val="43D95388"/>
    <w:rsid w:val="45E02761"/>
    <w:rsid w:val="46326773"/>
    <w:rsid w:val="46CDDA83"/>
    <w:rsid w:val="47EEEE9C"/>
    <w:rsid w:val="48B88AFD"/>
    <w:rsid w:val="4A81A853"/>
    <w:rsid w:val="4B30E234"/>
    <w:rsid w:val="4C6BA05F"/>
    <w:rsid w:val="4D13E5AD"/>
    <w:rsid w:val="4D26A34E"/>
    <w:rsid w:val="4D785BCA"/>
    <w:rsid w:val="4D9B51CE"/>
    <w:rsid w:val="4DC2CAA8"/>
    <w:rsid w:val="4E264D5A"/>
    <w:rsid w:val="4F298773"/>
    <w:rsid w:val="4FFE5EE3"/>
    <w:rsid w:val="50809728"/>
    <w:rsid w:val="51E4D36F"/>
    <w:rsid w:val="53017448"/>
    <w:rsid w:val="53872C78"/>
    <w:rsid w:val="5387B068"/>
    <w:rsid w:val="53D58876"/>
    <w:rsid w:val="54A58F35"/>
    <w:rsid w:val="54CABD66"/>
    <w:rsid w:val="54DACE9D"/>
    <w:rsid w:val="54F053BA"/>
    <w:rsid w:val="56932872"/>
    <w:rsid w:val="56F2DE5F"/>
    <w:rsid w:val="573DC75E"/>
    <w:rsid w:val="5751D712"/>
    <w:rsid w:val="57A23701"/>
    <w:rsid w:val="57AD566F"/>
    <w:rsid w:val="5899C95D"/>
    <w:rsid w:val="59E3ABE6"/>
    <w:rsid w:val="5D46B6F8"/>
    <w:rsid w:val="5D75708F"/>
    <w:rsid w:val="5DD96EA8"/>
    <w:rsid w:val="5E8092D6"/>
    <w:rsid w:val="5E8F0814"/>
    <w:rsid w:val="5EB836BD"/>
    <w:rsid w:val="5EF53C9C"/>
    <w:rsid w:val="5F2C28F2"/>
    <w:rsid w:val="5FB1E410"/>
    <w:rsid w:val="5FEBD3AA"/>
    <w:rsid w:val="6044437D"/>
    <w:rsid w:val="60D23D03"/>
    <w:rsid w:val="618F2482"/>
    <w:rsid w:val="621C6309"/>
    <w:rsid w:val="62B61E47"/>
    <w:rsid w:val="635817E0"/>
    <w:rsid w:val="6433B7F5"/>
    <w:rsid w:val="64A163FF"/>
    <w:rsid w:val="654A6BFB"/>
    <w:rsid w:val="65A3DD0C"/>
    <w:rsid w:val="66496E09"/>
    <w:rsid w:val="6652FE57"/>
    <w:rsid w:val="665D9A65"/>
    <w:rsid w:val="665F8E66"/>
    <w:rsid w:val="668EBF5D"/>
    <w:rsid w:val="66BA6D3E"/>
    <w:rsid w:val="688EC46A"/>
    <w:rsid w:val="697E78FE"/>
    <w:rsid w:val="69C0966D"/>
    <w:rsid w:val="6A367048"/>
    <w:rsid w:val="6A73C900"/>
    <w:rsid w:val="6AE995EC"/>
    <w:rsid w:val="6B50B7C7"/>
    <w:rsid w:val="6B56B38F"/>
    <w:rsid w:val="6C59B359"/>
    <w:rsid w:val="6C96937D"/>
    <w:rsid w:val="6CAA517D"/>
    <w:rsid w:val="6CC67ADD"/>
    <w:rsid w:val="6D94FB0A"/>
    <w:rsid w:val="6DBF859D"/>
    <w:rsid w:val="6E4849D4"/>
    <w:rsid w:val="6ED05CCD"/>
    <w:rsid w:val="6F92CBE9"/>
    <w:rsid w:val="6FFC064F"/>
    <w:rsid w:val="705D716E"/>
    <w:rsid w:val="709065AE"/>
    <w:rsid w:val="70FADAEB"/>
    <w:rsid w:val="7398E854"/>
    <w:rsid w:val="74326F73"/>
    <w:rsid w:val="74957496"/>
    <w:rsid w:val="74E4B471"/>
    <w:rsid w:val="7519E9D1"/>
    <w:rsid w:val="7525F7F0"/>
    <w:rsid w:val="7576D200"/>
    <w:rsid w:val="7591F66D"/>
    <w:rsid w:val="75D14B68"/>
    <w:rsid w:val="76187568"/>
    <w:rsid w:val="7629C39B"/>
    <w:rsid w:val="7685FF16"/>
    <w:rsid w:val="76B587BE"/>
    <w:rsid w:val="76F33298"/>
    <w:rsid w:val="773DD2FE"/>
    <w:rsid w:val="78119E0B"/>
    <w:rsid w:val="7813C7B1"/>
    <w:rsid w:val="78A3AA24"/>
    <w:rsid w:val="79F3884E"/>
    <w:rsid w:val="7A3A59D7"/>
    <w:rsid w:val="7AEEDE22"/>
    <w:rsid w:val="7B6FA437"/>
    <w:rsid w:val="7C19E4B8"/>
    <w:rsid w:val="7C65C14A"/>
    <w:rsid w:val="7CDE7A7A"/>
    <w:rsid w:val="7E93F001"/>
    <w:rsid w:val="7E97DFD7"/>
    <w:rsid w:val="7ED8D6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85BCA"/>
  <w15:chartTrackingRefBased/>
  <w15:docId w15:val="{D7C80259-399D-403A-B3D0-8D489FE8D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Pr>
      <w:rFonts w:asciiTheme="majorHAnsi" w:eastAsiaTheme="majorEastAsia" w:hAnsiTheme="majorHAnsi" w:cstheme="majorBidi"/>
      <w:color w:val="0F4761" w:themeColor="accent1" w:themeShade="BF"/>
      <w:sz w:val="32"/>
      <w:szCs w:val="32"/>
    </w:rPr>
  </w:style>
  <w:style w:type="paragraph" w:styleId="Prrafodelista">
    <w:name w:val="List Paragraph"/>
    <w:basedOn w:val="Normal"/>
    <w:uiPriority w:val="34"/>
    <w:qFormat/>
    <w:pPr>
      <w:ind w:left="720"/>
      <w:contextualSpacing/>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ncabezadoCar">
    <w:name w:val="Encabezado Car"/>
    <w:basedOn w:val="Fuentedeprrafopredeter"/>
    <w:link w:val="Encabezado"/>
    <w:uiPriority w:val="99"/>
  </w:style>
  <w:style w:type="paragraph" w:styleId="Encabezado">
    <w:name w:val="header"/>
    <w:basedOn w:val="Normal"/>
    <w:link w:val="EncabezadoCar"/>
    <w:uiPriority w:val="99"/>
    <w:unhideWhenUse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style>
  <w:style w:type="paragraph" w:styleId="Piedepgina">
    <w:name w:val="footer"/>
    <w:basedOn w:val="Normal"/>
    <w:link w:val="PiedepginaCar"/>
    <w:uiPriority w:val="99"/>
    <w:unhideWhenUsed/>
    <w:pPr>
      <w:tabs>
        <w:tab w:val="center" w:pos="4680"/>
        <w:tab w:val="right" w:pos="9360"/>
      </w:tabs>
      <w:spacing w:after="0" w:line="240" w:lineRule="auto"/>
    </w:pPr>
  </w:style>
  <w:style w:type="paragraph" w:styleId="NormalWeb">
    <w:name w:val="Normal (Web)"/>
    <w:basedOn w:val="Normal"/>
    <w:uiPriority w:val="99"/>
    <w:semiHidden/>
    <w:unhideWhenUsed/>
    <w:rsid w:val="00C6302D"/>
    <w:pPr>
      <w:spacing w:before="100" w:beforeAutospacing="1" w:after="100" w:afterAutospacing="1" w:line="240" w:lineRule="auto"/>
    </w:pPr>
    <w:rPr>
      <w:rFonts w:ascii="Times New Roman" w:eastAsia="Times New Roman" w:hAnsi="Times New Roman" w:cs="Times New Roman"/>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513551">
      <w:bodyDiv w:val="1"/>
      <w:marLeft w:val="0"/>
      <w:marRight w:val="0"/>
      <w:marTop w:val="0"/>
      <w:marBottom w:val="0"/>
      <w:divBdr>
        <w:top w:val="none" w:sz="0" w:space="0" w:color="auto"/>
        <w:left w:val="none" w:sz="0" w:space="0" w:color="auto"/>
        <w:bottom w:val="none" w:sz="0" w:space="0" w:color="auto"/>
        <w:right w:val="none" w:sz="0" w:space="0" w:color="auto"/>
      </w:divBdr>
    </w:div>
    <w:div w:id="171798425">
      <w:bodyDiv w:val="1"/>
      <w:marLeft w:val="0"/>
      <w:marRight w:val="0"/>
      <w:marTop w:val="0"/>
      <w:marBottom w:val="0"/>
      <w:divBdr>
        <w:top w:val="none" w:sz="0" w:space="0" w:color="auto"/>
        <w:left w:val="none" w:sz="0" w:space="0" w:color="auto"/>
        <w:bottom w:val="none" w:sz="0" w:space="0" w:color="auto"/>
        <w:right w:val="none" w:sz="0" w:space="0" w:color="auto"/>
      </w:divBdr>
    </w:div>
    <w:div w:id="353918906">
      <w:bodyDiv w:val="1"/>
      <w:marLeft w:val="0"/>
      <w:marRight w:val="0"/>
      <w:marTop w:val="0"/>
      <w:marBottom w:val="0"/>
      <w:divBdr>
        <w:top w:val="none" w:sz="0" w:space="0" w:color="auto"/>
        <w:left w:val="none" w:sz="0" w:space="0" w:color="auto"/>
        <w:bottom w:val="none" w:sz="0" w:space="0" w:color="auto"/>
        <w:right w:val="none" w:sz="0" w:space="0" w:color="auto"/>
      </w:divBdr>
    </w:div>
    <w:div w:id="383255179">
      <w:bodyDiv w:val="1"/>
      <w:marLeft w:val="0"/>
      <w:marRight w:val="0"/>
      <w:marTop w:val="0"/>
      <w:marBottom w:val="0"/>
      <w:divBdr>
        <w:top w:val="none" w:sz="0" w:space="0" w:color="auto"/>
        <w:left w:val="none" w:sz="0" w:space="0" w:color="auto"/>
        <w:bottom w:val="none" w:sz="0" w:space="0" w:color="auto"/>
        <w:right w:val="none" w:sz="0" w:space="0" w:color="auto"/>
      </w:divBdr>
    </w:div>
    <w:div w:id="418714806">
      <w:bodyDiv w:val="1"/>
      <w:marLeft w:val="0"/>
      <w:marRight w:val="0"/>
      <w:marTop w:val="0"/>
      <w:marBottom w:val="0"/>
      <w:divBdr>
        <w:top w:val="none" w:sz="0" w:space="0" w:color="auto"/>
        <w:left w:val="none" w:sz="0" w:space="0" w:color="auto"/>
        <w:bottom w:val="none" w:sz="0" w:space="0" w:color="auto"/>
        <w:right w:val="none" w:sz="0" w:space="0" w:color="auto"/>
      </w:divBdr>
    </w:div>
    <w:div w:id="422337548">
      <w:bodyDiv w:val="1"/>
      <w:marLeft w:val="0"/>
      <w:marRight w:val="0"/>
      <w:marTop w:val="0"/>
      <w:marBottom w:val="0"/>
      <w:divBdr>
        <w:top w:val="none" w:sz="0" w:space="0" w:color="auto"/>
        <w:left w:val="none" w:sz="0" w:space="0" w:color="auto"/>
        <w:bottom w:val="none" w:sz="0" w:space="0" w:color="auto"/>
        <w:right w:val="none" w:sz="0" w:space="0" w:color="auto"/>
      </w:divBdr>
    </w:div>
    <w:div w:id="584386689">
      <w:bodyDiv w:val="1"/>
      <w:marLeft w:val="0"/>
      <w:marRight w:val="0"/>
      <w:marTop w:val="0"/>
      <w:marBottom w:val="0"/>
      <w:divBdr>
        <w:top w:val="none" w:sz="0" w:space="0" w:color="auto"/>
        <w:left w:val="none" w:sz="0" w:space="0" w:color="auto"/>
        <w:bottom w:val="none" w:sz="0" w:space="0" w:color="auto"/>
        <w:right w:val="none" w:sz="0" w:space="0" w:color="auto"/>
      </w:divBdr>
    </w:div>
    <w:div w:id="622420472">
      <w:bodyDiv w:val="1"/>
      <w:marLeft w:val="0"/>
      <w:marRight w:val="0"/>
      <w:marTop w:val="0"/>
      <w:marBottom w:val="0"/>
      <w:divBdr>
        <w:top w:val="none" w:sz="0" w:space="0" w:color="auto"/>
        <w:left w:val="none" w:sz="0" w:space="0" w:color="auto"/>
        <w:bottom w:val="none" w:sz="0" w:space="0" w:color="auto"/>
        <w:right w:val="none" w:sz="0" w:space="0" w:color="auto"/>
      </w:divBdr>
    </w:div>
    <w:div w:id="657735322">
      <w:bodyDiv w:val="1"/>
      <w:marLeft w:val="0"/>
      <w:marRight w:val="0"/>
      <w:marTop w:val="0"/>
      <w:marBottom w:val="0"/>
      <w:divBdr>
        <w:top w:val="none" w:sz="0" w:space="0" w:color="auto"/>
        <w:left w:val="none" w:sz="0" w:space="0" w:color="auto"/>
        <w:bottom w:val="none" w:sz="0" w:space="0" w:color="auto"/>
        <w:right w:val="none" w:sz="0" w:space="0" w:color="auto"/>
      </w:divBdr>
    </w:div>
    <w:div w:id="665321649">
      <w:bodyDiv w:val="1"/>
      <w:marLeft w:val="0"/>
      <w:marRight w:val="0"/>
      <w:marTop w:val="0"/>
      <w:marBottom w:val="0"/>
      <w:divBdr>
        <w:top w:val="none" w:sz="0" w:space="0" w:color="auto"/>
        <w:left w:val="none" w:sz="0" w:space="0" w:color="auto"/>
        <w:bottom w:val="none" w:sz="0" w:space="0" w:color="auto"/>
        <w:right w:val="none" w:sz="0" w:space="0" w:color="auto"/>
      </w:divBdr>
    </w:div>
    <w:div w:id="821772573">
      <w:bodyDiv w:val="1"/>
      <w:marLeft w:val="0"/>
      <w:marRight w:val="0"/>
      <w:marTop w:val="0"/>
      <w:marBottom w:val="0"/>
      <w:divBdr>
        <w:top w:val="none" w:sz="0" w:space="0" w:color="auto"/>
        <w:left w:val="none" w:sz="0" w:space="0" w:color="auto"/>
        <w:bottom w:val="none" w:sz="0" w:space="0" w:color="auto"/>
        <w:right w:val="none" w:sz="0" w:space="0" w:color="auto"/>
      </w:divBdr>
    </w:div>
    <w:div w:id="933129511">
      <w:bodyDiv w:val="1"/>
      <w:marLeft w:val="0"/>
      <w:marRight w:val="0"/>
      <w:marTop w:val="0"/>
      <w:marBottom w:val="0"/>
      <w:divBdr>
        <w:top w:val="none" w:sz="0" w:space="0" w:color="auto"/>
        <w:left w:val="none" w:sz="0" w:space="0" w:color="auto"/>
        <w:bottom w:val="none" w:sz="0" w:space="0" w:color="auto"/>
        <w:right w:val="none" w:sz="0" w:space="0" w:color="auto"/>
      </w:divBdr>
    </w:div>
    <w:div w:id="943340066">
      <w:bodyDiv w:val="1"/>
      <w:marLeft w:val="0"/>
      <w:marRight w:val="0"/>
      <w:marTop w:val="0"/>
      <w:marBottom w:val="0"/>
      <w:divBdr>
        <w:top w:val="none" w:sz="0" w:space="0" w:color="auto"/>
        <w:left w:val="none" w:sz="0" w:space="0" w:color="auto"/>
        <w:bottom w:val="none" w:sz="0" w:space="0" w:color="auto"/>
        <w:right w:val="none" w:sz="0" w:space="0" w:color="auto"/>
      </w:divBdr>
    </w:div>
    <w:div w:id="1049577375">
      <w:bodyDiv w:val="1"/>
      <w:marLeft w:val="0"/>
      <w:marRight w:val="0"/>
      <w:marTop w:val="0"/>
      <w:marBottom w:val="0"/>
      <w:divBdr>
        <w:top w:val="none" w:sz="0" w:space="0" w:color="auto"/>
        <w:left w:val="none" w:sz="0" w:space="0" w:color="auto"/>
        <w:bottom w:val="none" w:sz="0" w:space="0" w:color="auto"/>
        <w:right w:val="none" w:sz="0" w:space="0" w:color="auto"/>
      </w:divBdr>
    </w:div>
    <w:div w:id="1282104942">
      <w:bodyDiv w:val="1"/>
      <w:marLeft w:val="0"/>
      <w:marRight w:val="0"/>
      <w:marTop w:val="0"/>
      <w:marBottom w:val="0"/>
      <w:divBdr>
        <w:top w:val="none" w:sz="0" w:space="0" w:color="auto"/>
        <w:left w:val="none" w:sz="0" w:space="0" w:color="auto"/>
        <w:bottom w:val="none" w:sz="0" w:space="0" w:color="auto"/>
        <w:right w:val="none" w:sz="0" w:space="0" w:color="auto"/>
      </w:divBdr>
    </w:div>
    <w:div w:id="1361659903">
      <w:bodyDiv w:val="1"/>
      <w:marLeft w:val="0"/>
      <w:marRight w:val="0"/>
      <w:marTop w:val="0"/>
      <w:marBottom w:val="0"/>
      <w:divBdr>
        <w:top w:val="none" w:sz="0" w:space="0" w:color="auto"/>
        <w:left w:val="none" w:sz="0" w:space="0" w:color="auto"/>
        <w:bottom w:val="none" w:sz="0" w:space="0" w:color="auto"/>
        <w:right w:val="none" w:sz="0" w:space="0" w:color="auto"/>
      </w:divBdr>
    </w:div>
    <w:div w:id="1385103424">
      <w:bodyDiv w:val="1"/>
      <w:marLeft w:val="0"/>
      <w:marRight w:val="0"/>
      <w:marTop w:val="0"/>
      <w:marBottom w:val="0"/>
      <w:divBdr>
        <w:top w:val="none" w:sz="0" w:space="0" w:color="auto"/>
        <w:left w:val="none" w:sz="0" w:space="0" w:color="auto"/>
        <w:bottom w:val="none" w:sz="0" w:space="0" w:color="auto"/>
        <w:right w:val="none" w:sz="0" w:space="0" w:color="auto"/>
      </w:divBdr>
    </w:div>
    <w:div w:id="1477524161">
      <w:bodyDiv w:val="1"/>
      <w:marLeft w:val="0"/>
      <w:marRight w:val="0"/>
      <w:marTop w:val="0"/>
      <w:marBottom w:val="0"/>
      <w:divBdr>
        <w:top w:val="none" w:sz="0" w:space="0" w:color="auto"/>
        <w:left w:val="none" w:sz="0" w:space="0" w:color="auto"/>
        <w:bottom w:val="none" w:sz="0" w:space="0" w:color="auto"/>
        <w:right w:val="none" w:sz="0" w:space="0" w:color="auto"/>
      </w:divBdr>
    </w:div>
    <w:div w:id="1480267713">
      <w:bodyDiv w:val="1"/>
      <w:marLeft w:val="0"/>
      <w:marRight w:val="0"/>
      <w:marTop w:val="0"/>
      <w:marBottom w:val="0"/>
      <w:divBdr>
        <w:top w:val="none" w:sz="0" w:space="0" w:color="auto"/>
        <w:left w:val="none" w:sz="0" w:space="0" w:color="auto"/>
        <w:bottom w:val="none" w:sz="0" w:space="0" w:color="auto"/>
        <w:right w:val="none" w:sz="0" w:space="0" w:color="auto"/>
      </w:divBdr>
    </w:div>
    <w:div w:id="1486967829">
      <w:bodyDiv w:val="1"/>
      <w:marLeft w:val="0"/>
      <w:marRight w:val="0"/>
      <w:marTop w:val="0"/>
      <w:marBottom w:val="0"/>
      <w:divBdr>
        <w:top w:val="none" w:sz="0" w:space="0" w:color="auto"/>
        <w:left w:val="none" w:sz="0" w:space="0" w:color="auto"/>
        <w:bottom w:val="none" w:sz="0" w:space="0" w:color="auto"/>
        <w:right w:val="none" w:sz="0" w:space="0" w:color="auto"/>
      </w:divBdr>
    </w:div>
    <w:div w:id="1499229822">
      <w:bodyDiv w:val="1"/>
      <w:marLeft w:val="0"/>
      <w:marRight w:val="0"/>
      <w:marTop w:val="0"/>
      <w:marBottom w:val="0"/>
      <w:divBdr>
        <w:top w:val="none" w:sz="0" w:space="0" w:color="auto"/>
        <w:left w:val="none" w:sz="0" w:space="0" w:color="auto"/>
        <w:bottom w:val="none" w:sz="0" w:space="0" w:color="auto"/>
        <w:right w:val="none" w:sz="0" w:space="0" w:color="auto"/>
      </w:divBdr>
      <w:divsChild>
        <w:div w:id="202405612">
          <w:marLeft w:val="0"/>
          <w:marRight w:val="0"/>
          <w:marTop w:val="0"/>
          <w:marBottom w:val="0"/>
          <w:divBdr>
            <w:top w:val="none" w:sz="0" w:space="0" w:color="auto"/>
            <w:left w:val="none" w:sz="0" w:space="0" w:color="auto"/>
            <w:bottom w:val="none" w:sz="0" w:space="0" w:color="auto"/>
            <w:right w:val="none" w:sz="0" w:space="0" w:color="auto"/>
          </w:divBdr>
          <w:divsChild>
            <w:div w:id="1460995770">
              <w:marLeft w:val="0"/>
              <w:marRight w:val="0"/>
              <w:marTop w:val="0"/>
              <w:marBottom w:val="0"/>
              <w:divBdr>
                <w:top w:val="none" w:sz="0" w:space="0" w:color="auto"/>
                <w:left w:val="none" w:sz="0" w:space="0" w:color="auto"/>
                <w:bottom w:val="none" w:sz="0" w:space="0" w:color="auto"/>
                <w:right w:val="none" w:sz="0" w:space="0" w:color="auto"/>
              </w:divBdr>
              <w:divsChild>
                <w:div w:id="167334470">
                  <w:marLeft w:val="0"/>
                  <w:marRight w:val="0"/>
                  <w:marTop w:val="0"/>
                  <w:marBottom w:val="0"/>
                  <w:divBdr>
                    <w:top w:val="none" w:sz="0" w:space="0" w:color="auto"/>
                    <w:left w:val="none" w:sz="0" w:space="0" w:color="auto"/>
                    <w:bottom w:val="none" w:sz="0" w:space="0" w:color="auto"/>
                    <w:right w:val="none" w:sz="0" w:space="0" w:color="auto"/>
                  </w:divBdr>
                  <w:divsChild>
                    <w:div w:id="1033000863">
                      <w:marLeft w:val="0"/>
                      <w:marRight w:val="0"/>
                      <w:marTop w:val="0"/>
                      <w:marBottom w:val="0"/>
                      <w:divBdr>
                        <w:top w:val="none" w:sz="0" w:space="0" w:color="auto"/>
                        <w:left w:val="none" w:sz="0" w:space="0" w:color="auto"/>
                        <w:bottom w:val="none" w:sz="0" w:space="0" w:color="auto"/>
                        <w:right w:val="none" w:sz="0" w:space="0" w:color="auto"/>
                      </w:divBdr>
                      <w:divsChild>
                        <w:div w:id="1084303861">
                          <w:marLeft w:val="0"/>
                          <w:marRight w:val="0"/>
                          <w:marTop w:val="0"/>
                          <w:marBottom w:val="0"/>
                          <w:divBdr>
                            <w:top w:val="none" w:sz="0" w:space="0" w:color="auto"/>
                            <w:left w:val="none" w:sz="0" w:space="0" w:color="auto"/>
                            <w:bottom w:val="none" w:sz="0" w:space="0" w:color="auto"/>
                            <w:right w:val="none" w:sz="0" w:space="0" w:color="auto"/>
                          </w:divBdr>
                          <w:divsChild>
                            <w:div w:id="1657343939">
                              <w:marLeft w:val="0"/>
                              <w:marRight w:val="0"/>
                              <w:marTop w:val="0"/>
                              <w:marBottom w:val="0"/>
                              <w:divBdr>
                                <w:top w:val="none" w:sz="0" w:space="0" w:color="auto"/>
                                <w:left w:val="none" w:sz="0" w:space="0" w:color="auto"/>
                                <w:bottom w:val="none" w:sz="0" w:space="0" w:color="auto"/>
                                <w:right w:val="none" w:sz="0" w:space="0" w:color="auto"/>
                              </w:divBdr>
                              <w:divsChild>
                                <w:div w:id="144299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6305891">
      <w:bodyDiv w:val="1"/>
      <w:marLeft w:val="0"/>
      <w:marRight w:val="0"/>
      <w:marTop w:val="0"/>
      <w:marBottom w:val="0"/>
      <w:divBdr>
        <w:top w:val="none" w:sz="0" w:space="0" w:color="auto"/>
        <w:left w:val="none" w:sz="0" w:space="0" w:color="auto"/>
        <w:bottom w:val="none" w:sz="0" w:space="0" w:color="auto"/>
        <w:right w:val="none" w:sz="0" w:space="0" w:color="auto"/>
      </w:divBdr>
    </w:div>
    <w:div w:id="1614365554">
      <w:bodyDiv w:val="1"/>
      <w:marLeft w:val="0"/>
      <w:marRight w:val="0"/>
      <w:marTop w:val="0"/>
      <w:marBottom w:val="0"/>
      <w:divBdr>
        <w:top w:val="none" w:sz="0" w:space="0" w:color="auto"/>
        <w:left w:val="none" w:sz="0" w:space="0" w:color="auto"/>
        <w:bottom w:val="none" w:sz="0" w:space="0" w:color="auto"/>
        <w:right w:val="none" w:sz="0" w:space="0" w:color="auto"/>
      </w:divBdr>
    </w:div>
    <w:div w:id="1640068304">
      <w:bodyDiv w:val="1"/>
      <w:marLeft w:val="0"/>
      <w:marRight w:val="0"/>
      <w:marTop w:val="0"/>
      <w:marBottom w:val="0"/>
      <w:divBdr>
        <w:top w:val="none" w:sz="0" w:space="0" w:color="auto"/>
        <w:left w:val="none" w:sz="0" w:space="0" w:color="auto"/>
        <w:bottom w:val="none" w:sz="0" w:space="0" w:color="auto"/>
        <w:right w:val="none" w:sz="0" w:space="0" w:color="auto"/>
      </w:divBdr>
    </w:div>
    <w:div w:id="1734037472">
      <w:bodyDiv w:val="1"/>
      <w:marLeft w:val="0"/>
      <w:marRight w:val="0"/>
      <w:marTop w:val="0"/>
      <w:marBottom w:val="0"/>
      <w:divBdr>
        <w:top w:val="none" w:sz="0" w:space="0" w:color="auto"/>
        <w:left w:val="none" w:sz="0" w:space="0" w:color="auto"/>
        <w:bottom w:val="none" w:sz="0" w:space="0" w:color="auto"/>
        <w:right w:val="none" w:sz="0" w:space="0" w:color="auto"/>
      </w:divBdr>
    </w:div>
    <w:div w:id="1918006542">
      <w:bodyDiv w:val="1"/>
      <w:marLeft w:val="0"/>
      <w:marRight w:val="0"/>
      <w:marTop w:val="0"/>
      <w:marBottom w:val="0"/>
      <w:divBdr>
        <w:top w:val="none" w:sz="0" w:space="0" w:color="auto"/>
        <w:left w:val="none" w:sz="0" w:space="0" w:color="auto"/>
        <w:bottom w:val="none" w:sz="0" w:space="0" w:color="auto"/>
        <w:right w:val="none" w:sz="0" w:space="0" w:color="auto"/>
      </w:divBdr>
    </w:div>
    <w:div w:id="1977298215">
      <w:bodyDiv w:val="1"/>
      <w:marLeft w:val="0"/>
      <w:marRight w:val="0"/>
      <w:marTop w:val="0"/>
      <w:marBottom w:val="0"/>
      <w:divBdr>
        <w:top w:val="none" w:sz="0" w:space="0" w:color="auto"/>
        <w:left w:val="none" w:sz="0" w:space="0" w:color="auto"/>
        <w:bottom w:val="none" w:sz="0" w:space="0" w:color="auto"/>
        <w:right w:val="none" w:sz="0" w:space="0" w:color="auto"/>
      </w:divBdr>
    </w:div>
    <w:div w:id="1992755596">
      <w:bodyDiv w:val="1"/>
      <w:marLeft w:val="0"/>
      <w:marRight w:val="0"/>
      <w:marTop w:val="0"/>
      <w:marBottom w:val="0"/>
      <w:divBdr>
        <w:top w:val="none" w:sz="0" w:space="0" w:color="auto"/>
        <w:left w:val="none" w:sz="0" w:space="0" w:color="auto"/>
        <w:bottom w:val="none" w:sz="0" w:space="0" w:color="auto"/>
        <w:right w:val="none" w:sz="0" w:space="0" w:color="auto"/>
      </w:divBdr>
    </w:div>
    <w:div w:id="1993831947">
      <w:bodyDiv w:val="1"/>
      <w:marLeft w:val="0"/>
      <w:marRight w:val="0"/>
      <w:marTop w:val="0"/>
      <w:marBottom w:val="0"/>
      <w:divBdr>
        <w:top w:val="none" w:sz="0" w:space="0" w:color="auto"/>
        <w:left w:val="none" w:sz="0" w:space="0" w:color="auto"/>
        <w:bottom w:val="none" w:sz="0" w:space="0" w:color="auto"/>
        <w:right w:val="none" w:sz="0" w:space="0" w:color="auto"/>
      </w:divBdr>
    </w:div>
    <w:div w:id="207226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DD0114C16C5E458BCFBC061D7DBD2D" ma:contentTypeVersion="13" ma:contentTypeDescription="Crear nuevo documento." ma:contentTypeScope="" ma:versionID="a13a505d003b310946770b274961a850">
  <xsd:schema xmlns:xsd="http://www.w3.org/2001/XMLSchema" xmlns:xs="http://www.w3.org/2001/XMLSchema" xmlns:p="http://schemas.microsoft.com/office/2006/metadata/properties" xmlns:ns2="5f5bc7ab-300d-450f-a7f6-895ca73d1f90" xmlns:ns3="f49203b0-bab0-476c-a2b7-00e8222d0a58" targetNamespace="http://schemas.microsoft.com/office/2006/metadata/properties" ma:root="true" ma:fieldsID="d79a35a1693848edebe0a98dde1b2876" ns2:_="" ns3:_="">
    <xsd:import namespace="5f5bc7ab-300d-450f-a7f6-895ca73d1f90"/>
    <xsd:import namespace="f49203b0-bab0-476c-a2b7-00e8222d0a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stadodeaprobaci_x00f3_n" minOccurs="0"/>
                <xsd:element ref="ns2:Detall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bc7ab-300d-450f-a7f6-895ca73d1f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516c470f-41be-41b5-85e9-796b3b390d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Estadodeaprobaci_x00f3_n" ma:index="18" nillable="true" ma:displayName="Estado de aprobación" ma:format="Dropdown" ma:internalName="Estadodeaprobaci_x00f3_n">
      <xsd:simpleType>
        <xsd:restriction base="dms:Choice">
          <xsd:enumeration value="Okey Gabinete"/>
          <xsd:enumeration value="Okey DG"/>
          <xsd:enumeration value="Okey SG"/>
          <xsd:enumeration value="En spera"/>
        </xsd:restriction>
      </xsd:simpleType>
    </xsd:element>
    <xsd:element name="Detalle" ma:index="19" nillable="true" ma:displayName="Detalle" ma:format="Dropdown" ma:internalName="Detall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9203b0-bab0-476c-a2b7-00e8222d0a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d5bfe2-aa1c-4e26-a8c9-1ababd689470}" ma:internalName="TaxCatchAll" ma:showField="CatchAllData" ma:web="f49203b0-bab0-476c-a2b7-00e8222d0a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stadodeaprobaci_x00f3_n xmlns="5f5bc7ab-300d-450f-a7f6-895ca73d1f90" xsi:nil="true"/>
    <TaxCatchAll xmlns="f49203b0-bab0-476c-a2b7-00e8222d0a58" xsi:nil="true"/>
    <Detalle xmlns="5f5bc7ab-300d-450f-a7f6-895ca73d1f90" xsi:nil="true"/>
    <lcf76f155ced4ddcb4097134ff3c332f xmlns="5f5bc7ab-300d-450f-a7f6-895ca73d1f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363E68-626B-42AD-AD9F-47536F429257}">
  <ds:schemaRefs>
    <ds:schemaRef ds:uri="http://schemas.microsoft.com/sharepoint/v3/contenttype/forms"/>
  </ds:schemaRefs>
</ds:datastoreItem>
</file>

<file path=customXml/itemProps2.xml><?xml version="1.0" encoding="utf-8"?>
<ds:datastoreItem xmlns:ds="http://schemas.openxmlformats.org/officeDocument/2006/customXml" ds:itemID="{47E560C3-0113-4035-BABA-E3C2E277A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bc7ab-300d-450f-a7f6-895ca73d1f90"/>
    <ds:schemaRef ds:uri="f49203b0-bab0-476c-a2b7-00e8222d0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557E0-68E4-4D07-ABA7-83FB496A093D}">
  <ds:schemaRefs>
    <ds:schemaRef ds:uri="http://schemas.microsoft.com/office/2006/metadata/properties"/>
    <ds:schemaRef ds:uri="http://schemas.microsoft.com/office/infopath/2007/PartnerControls"/>
    <ds:schemaRef ds:uri="5f5bc7ab-300d-450f-a7f6-895ca73d1f90"/>
    <ds:schemaRef ds:uri="f49203b0-bab0-476c-a2b7-00e8222d0a58"/>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3</Pages>
  <Words>1120</Words>
  <Characters>6160</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Lebrato Cuevas, Elena</dc:creator>
  <cp:keywords/>
  <dc:description/>
  <cp:lastModifiedBy>Cinaroglu, Ayben</cp:lastModifiedBy>
  <cp:revision>18</cp:revision>
  <cp:lastPrinted>2026-02-20T06:37:00Z</cp:lastPrinted>
  <dcterms:created xsi:type="dcterms:W3CDTF">2026-02-18T08:10:00Z</dcterms:created>
  <dcterms:modified xsi:type="dcterms:W3CDTF">2026-02-23T09:28:00Z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0x01010041DD0114C16C5E458BCFBC061D7DBD2D</vt:lpwstr>
  </property>
  <property fmtid="{D5CDD505-2E9C-101B-9397-08002B2CF9AE}" pid="3" name="MediaServiceImageTags">
    <vt:lpwstr/>
  </property>
</Properties>
</file>